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23"/>
        <w:tblW w:w="4900" w:type="pct"/>
        <w:tblLook w:val="04A0" w:firstRow="1" w:lastRow="0" w:firstColumn="1" w:lastColumn="0" w:noHBand="0" w:noVBand="1"/>
      </w:tblPr>
      <w:tblGrid>
        <w:gridCol w:w="1529"/>
        <w:gridCol w:w="5765"/>
        <w:gridCol w:w="1551"/>
      </w:tblGrid>
      <w:tr w:rsidR="00A5191E" w:rsidRPr="002B1CD2" w14:paraId="66D3AF64" w14:textId="77777777" w:rsidTr="00645B8C">
        <w:trPr>
          <w:cnfStyle w:val="100000000000" w:firstRow="1" w:lastRow="0" w:firstColumn="0" w:lastColumn="0" w:oddVBand="0" w:evenVBand="0" w:oddHBand="0"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864" w:type="pct"/>
            <w:tcBorders>
              <w:top w:val="single" w:sz="18" w:space="0" w:color="auto"/>
              <w:bottom w:val="single" w:sz="18" w:space="0" w:color="auto"/>
            </w:tcBorders>
          </w:tcPr>
          <w:p w14:paraId="2B345B26" w14:textId="34C48403" w:rsidR="00645B8C" w:rsidRPr="002B1CD2" w:rsidRDefault="00645B8C" w:rsidP="007507C1">
            <w:pPr>
              <w:keepNext/>
              <w:tabs>
                <w:tab w:val="left" w:pos="720"/>
                <w:tab w:val="left" w:pos="1008"/>
                <w:tab w:val="left" w:pos="1296"/>
                <w:tab w:val="left" w:pos="1584"/>
                <w:tab w:val="left" w:pos="1872"/>
                <w:tab w:val="left" w:pos="2160"/>
              </w:tabs>
              <w:jc w:val="center"/>
              <w:rPr>
                <w:rFonts w:ascii="TH SarabunPSK" w:hAnsi="TH SarabunPSK" w:cs="TH SarabunPSK"/>
                <w:shd w:val="clear" w:color="auto" w:fill="FFFFFF"/>
              </w:rPr>
            </w:pPr>
          </w:p>
        </w:tc>
        <w:tc>
          <w:tcPr>
            <w:tcW w:w="3259" w:type="pct"/>
            <w:tcBorders>
              <w:top w:val="single" w:sz="18" w:space="0" w:color="auto"/>
              <w:bottom w:val="single" w:sz="18" w:space="0" w:color="auto"/>
            </w:tcBorders>
            <w:shd w:val="clear" w:color="auto" w:fill="D9D9D9" w:themeFill="background1" w:themeFillShade="D9"/>
          </w:tcPr>
          <w:p w14:paraId="1299861E" w14:textId="77777777" w:rsidR="00645B8C" w:rsidRPr="002B1CD2" w:rsidRDefault="00645B8C" w:rsidP="007507C1">
            <w:pPr>
              <w:spacing w:before="120"/>
              <w:jc w:val="center"/>
              <w:cnfStyle w:val="100000000000" w:firstRow="1" w:lastRow="0" w:firstColumn="0" w:lastColumn="0" w:oddVBand="0" w:evenVBand="0" w:oddHBand="0" w:evenHBand="0" w:firstRowFirstColumn="0" w:firstRowLastColumn="0" w:lastRowFirstColumn="0" w:lastRowLastColumn="0"/>
              <w:rPr>
                <w:rFonts w:ascii="TH SarabunPSK" w:eastAsiaTheme="minorHAnsi" w:hAnsi="TH SarabunPSK" w:cs="TH SarabunPSK"/>
                <w:b w:val="0"/>
                <w:bCs w:val="0"/>
                <w:sz w:val="48"/>
                <w:szCs w:val="48"/>
              </w:rPr>
            </w:pPr>
            <w:r w:rsidRPr="002B1CD2">
              <w:rPr>
                <w:rFonts w:ascii="TH SarabunPSK" w:eastAsiaTheme="minorHAnsi" w:hAnsi="TH SarabunPSK" w:cs="TH SarabunPSK"/>
                <w:sz w:val="48"/>
                <w:szCs w:val="48"/>
                <w:cs/>
              </w:rPr>
              <w:t>วิทยาการบริหารภาครัฐสมัยใหม่</w:t>
            </w:r>
          </w:p>
          <w:p w14:paraId="26BAE10D" w14:textId="77777777" w:rsidR="00645B8C" w:rsidRPr="002B1CD2" w:rsidRDefault="00645B8C" w:rsidP="007507C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heme="minorBidi"/>
                <w:sz w:val="16"/>
                <w:szCs w:val="16"/>
              </w:rPr>
            </w:pPr>
            <w:r w:rsidRPr="002B1CD2">
              <w:rPr>
                <w:rFonts w:ascii="Times New Roman" w:eastAsiaTheme="minorHAnsi" w:hAnsi="Times New Roman" w:cs="Times New Roman"/>
                <w:sz w:val="28"/>
                <w:szCs w:val="28"/>
              </w:rPr>
              <w:t>Modern Public Administrative Science</w:t>
            </w:r>
            <w:r w:rsidRPr="002B1CD2">
              <w:rPr>
                <w:rFonts w:ascii="Times New Roman" w:eastAsiaTheme="minorHAnsi" w:hAnsi="Times New Roman" w:cs="Angsana New"/>
                <w:sz w:val="28"/>
                <w:szCs w:val="28"/>
                <w:cs/>
              </w:rPr>
              <w:t>-</w:t>
            </w:r>
            <w:r w:rsidRPr="002B1CD2">
              <w:rPr>
                <w:rFonts w:ascii="Times New Roman" w:eastAsiaTheme="minorHAnsi" w:hAnsi="Times New Roman" w:cstheme="minorBidi"/>
                <w:sz w:val="28"/>
                <w:szCs w:val="28"/>
              </w:rPr>
              <w:t>MPAS</w:t>
            </w:r>
          </w:p>
          <w:p w14:paraId="6A587361" w14:textId="77777777" w:rsidR="00645B8C" w:rsidRPr="002B1CD2" w:rsidRDefault="00645B8C" w:rsidP="007507C1">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2B1CD2">
              <w:rPr>
                <w:rFonts w:ascii="Times New Roman" w:eastAsiaTheme="minorHAnsi" w:hAnsi="Times New Roman" w:cs="Times New Roman"/>
                <w:sz w:val="20"/>
                <w:szCs w:val="20"/>
              </w:rPr>
              <w:t xml:space="preserve"> homepage</w:t>
            </w:r>
            <w:r w:rsidRPr="002B1CD2">
              <w:rPr>
                <w:rFonts w:ascii="Times New Roman" w:eastAsiaTheme="minorHAnsi" w:hAnsi="Times New Roman" w:cs="Angsana New"/>
                <w:sz w:val="20"/>
                <w:szCs w:val="20"/>
                <w:cs/>
              </w:rPr>
              <w:t xml:space="preserve">: </w:t>
            </w:r>
            <w:r w:rsidRPr="002B1CD2">
              <w:rPr>
                <w:rFonts w:ascii="Times New Roman" w:eastAsiaTheme="minorHAnsi" w:hAnsi="Times New Roman" w:cs="Times New Roman"/>
                <w:sz w:val="20"/>
                <w:szCs w:val="20"/>
              </w:rPr>
              <w:t>https</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so17</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tci</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thaijo</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org</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index</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php</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jppi</w:t>
            </w:r>
          </w:p>
          <w:p w14:paraId="5E4F5143" w14:textId="77777777" w:rsidR="00645B8C" w:rsidRPr="002B1CD2" w:rsidRDefault="00645B8C" w:rsidP="007507C1">
            <w:pPr>
              <w:keepNext/>
              <w:tabs>
                <w:tab w:val="left" w:pos="720"/>
                <w:tab w:val="left" w:pos="1008"/>
                <w:tab w:val="left" w:pos="1296"/>
                <w:tab w:val="left" w:pos="1584"/>
                <w:tab w:val="left" w:pos="1872"/>
                <w:tab w:val="left" w:pos="2160"/>
              </w:tabs>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hd w:val="clear" w:color="auto" w:fill="FFFFFF"/>
              </w:rPr>
            </w:pPr>
            <w:r w:rsidRPr="002B1CD2">
              <w:rPr>
                <w:rFonts w:ascii="Times New Roman" w:eastAsiaTheme="minorHAnsi" w:hAnsi="Times New Roman" w:cs="Times New Roman"/>
                <w:sz w:val="20"/>
                <w:szCs w:val="20"/>
              </w:rPr>
              <w:t>E</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mail</w:t>
            </w:r>
            <w:r w:rsidRPr="002B1CD2">
              <w:rPr>
                <w:rFonts w:ascii="Times New Roman" w:eastAsiaTheme="minorHAnsi" w:hAnsi="Times New Roman" w:cs="Angsana New"/>
                <w:sz w:val="20"/>
                <w:szCs w:val="20"/>
                <w:cs/>
              </w:rPr>
              <w:t xml:space="preserve">: </w:t>
            </w:r>
            <w:r w:rsidRPr="002B1CD2">
              <w:rPr>
                <w:rFonts w:ascii="Times New Roman" w:eastAsiaTheme="minorHAnsi" w:hAnsi="Times New Roman" w:cs="Times New Roman"/>
                <w:sz w:val="20"/>
                <w:szCs w:val="20"/>
              </w:rPr>
              <w:t>jppissues@gmail</w:t>
            </w:r>
            <w:r w:rsidRPr="002B1CD2">
              <w:rPr>
                <w:rFonts w:ascii="Times New Roman" w:eastAsiaTheme="minorHAnsi" w:hAnsi="Times New Roman" w:cs="Angsana New"/>
                <w:sz w:val="20"/>
                <w:szCs w:val="20"/>
                <w:cs/>
              </w:rPr>
              <w:t>.</w:t>
            </w:r>
            <w:r w:rsidRPr="002B1CD2">
              <w:rPr>
                <w:rFonts w:ascii="Times New Roman" w:eastAsiaTheme="minorHAnsi" w:hAnsi="Times New Roman" w:cs="Times New Roman"/>
                <w:sz w:val="20"/>
                <w:szCs w:val="20"/>
              </w:rPr>
              <w:t>com</w:t>
            </w:r>
          </w:p>
        </w:tc>
        <w:tc>
          <w:tcPr>
            <w:tcW w:w="877" w:type="pct"/>
            <w:tcBorders>
              <w:top w:val="single" w:sz="18" w:space="0" w:color="auto"/>
              <w:bottom w:val="single" w:sz="18" w:space="0" w:color="auto"/>
            </w:tcBorders>
          </w:tcPr>
          <w:p w14:paraId="23ED6F4D" w14:textId="77777777" w:rsidR="00645B8C" w:rsidRPr="002B1CD2" w:rsidRDefault="00645B8C" w:rsidP="007507C1">
            <w:pPr>
              <w:keepNext/>
              <w:tabs>
                <w:tab w:val="left" w:pos="720"/>
                <w:tab w:val="left" w:pos="1008"/>
                <w:tab w:val="left" w:pos="1296"/>
                <w:tab w:val="left" w:pos="1584"/>
                <w:tab w:val="left" w:pos="1872"/>
                <w:tab w:val="left" w:pos="2160"/>
              </w:tabs>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hd w:val="clear" w:color="auto" w:fill="FFFFFF"/>
              </w:rPr>
            </w:pPr>
            <w:r w:rsidRPr="002B1CD2">
              <w:rPr>
                <w:rFonts w:ascii="Times New Roman" w:eastAsiaTheme="minorHAnsi" w:hAnsi="Times New Roman" w:cs="Times New Roman"/>
                <w:sz w:val="24"/>
                <w:szCs w:val="24"/>
              </w:rPr>
              <w:drawing>
                <wp:anchor distT="0" distB="0" distL="114300" distR="114300" simplePos="0" relativeHeight="251659264" behindDoc="0" locked="0" layoutInCell="1" allowOverlap="1" wp14:anchorId="61FC8809" wp14:editId="2FFBB303">
                  <wp:simplePos x="0" y="0"/>
                  <wp:positionH relativeFrom="column">
                    <wp:posOffset>41465</wp:posOffset>
                  </wp:positionH>
                  <wp:positionV relativeFrom="paragraph">
                    <wp:posOffset>66675</wp:posOffset>
                  </wp:positionV>
                  <wp:extent cx="749300" cy="1057275"/>
                  <wp:effectExtent l="0" t="0" r="0" b="9525"/>
                  <wp:wrapNone/>
                  <wp:docPr id="695410922"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10922" name="รูปภาพ 6954109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300" cy="1057275"/>
                          </a:xfrm>
                          <a:prstGeom prst="rect">
                            <a:avLst/>
                          </a:prstGeom>
                        </pic:spPr>
                      </pic:pic>
                    </a:graphicData>
                  </a:graphic>
                  <wp14:sizeRelH relativeFrom="margin">
                    <wp14:pctWidth>0</wp14:pctWidth>
                  </wp14:sizeRelH>
                </wp:anchor>
              </w:drawing>
            </w:r>
          </w:p>
        </w:tc>
      </w:tr>
    </w:tbl>
    <w:p w14:paraId="3EFA2004" w14:textId="7209492B" w:rsidR="00F84123" w:rsidRPr="002B1CD2" w:rsidRDefault="00645B8C" w:rsidP="00611A06">
      <w:pPr>
        <w:keepNext/>
        <w:tabs>
          <w:tab w:val="left" w:pos="720"/>
          <w:tab w:val="left" w:pos="1008"/>
          <w:tab w:val="left" w:pos="1296"/>
          <w:tab w:val="left" w:pos="1584"/>
          <w:tab w:val="left" w:pos="1872"/>
          <w:tab w:val="left" w:pos="2160"/>
        </w:tabs>
        <w:jc w:val="center"/>
        <w:rPr>
          <w:rFonts w:ascii="TH SarabunPSK" w:hAnsi="TH SarabunPSK" w:cs="TH SarabunPSK"/>
          <w:shd w:val="clear" w:color="auto" w:fill="FFFFFF"/>
        </w:rPr>
      </w:pPr>
      <w:r w:rsidRPr="002B1CD2">
        <w:rPr>
          <w:rFonts w:ascii="Cambria" w:eastAsia="MS Mincho" w:hAnsi="Cambria" w:cs="Cordia New"/>
          <w:sz w:val="22"/>
          <w:szCs w:val="22"/>
        </w:rPr>
        <w:drawing>
          <wp:anchor distT="0" distB="0" distL="114300" distR="114300" simplePos="0" relativeHeight="251661312" behindDoc="0" locked="0" layoutInCell="1" allowOverlap="1" wp14:anchorId="328FBFE9" wp14:editId="514E27DD">
            <wp:simplePos x="0" y="0"/>
            <wp:positionH relativeFrom="column">
              <wp:posOffset>-24977</wp:posOffset>
            </wp:positionH>
            <wp:positionV relativeFrom="paragraph">
              <wp:posOffset>-1136650</wp:posOffset>
            </wp:positionV>
            <wp:extent cx="933450" cy="1012825"/>
            <wp:effectExtent l="0" t="0" r="0" b="0"/>
            <wp:wrapNone/>
            <wp:docPr id="706565134"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65134" name="รูปภาพ 706565134"/>
                    <pic:cNvPicPr/>
                  </pic:nvPicPr>
                  <pic:blipFill rotWithShape="1">
                    <a:blip r:embed="rId9" cstate="print">
                      <a:extLst>
                        <a:ext uri="{28A0092B-C50C-407E-A947-70E740481C1C}">
                          <a14:useLocalDpi xmlns:a14="http://schemas.microsoft.com/office/drawing/2010/main" val="0"/>
                        </a:ext>
                      </a:extLst>
                    </a:blip>
                    <a:srcRect r="6899"/>
                    <a:stretch/>
                  </pic:blipFill>
                  <pic:spPr bwMode="auto">
                    <a:xfrm>
                      <a:off x="0" y="0"/>
                      <a:ext cx="933450" cy="1012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759800" w14:textId="7026E1C4" w:rsidR="00F84123" w:rsidRPr="002B1CD2" w:rsidRDefault="00A508A0" w:rsidP="00A508A0">
      <w:pPr>
        <w:keepNext/>
        <w:tabs>
          <w:tab w:val="left" w:pos="720"/>
          <w:tab w:val="left" w:pos="1008"/>
          <w:tab w:val="left" w:pos="1296"/>
          <w:tab w:val="left" w:pos="1584"/>
          <w:tab w:val="left" w:pos="1872"/>
          <w:tab w:val="left" w:pos="2160"/>
        </w:tabs>
        <w:rPr>
          <w:rFonts w:ascii="TH SarabunPSK" w:hAnsi="TH SarabunPSK" w:cs="TH SarabunPSK"/>
          <w:sz w:val="28"/>
          <w:szCs w:val="28"/>
        </w:rPr>
      </w:pPr>
      <w:r w:rsidRPr="002B1CD2">
        <w:rPr>
          <w:rFonts w:ascii="Times New Roman" w:hAnsi="Times New Roman" w:cs="Angsana New"/>
          <w:b/>
          <w:bCs/>
          <w:sz w:val="28"/>
          <w:szCs w:val="28"/>
          <w:shd w:val="clear" w:color="auto" w:fill="FFFFFF"/>
        </w:rPr>
        <w:t xml:space="preserve">The </w:t>
      </w:r>
      <w:r w:rsidR="00A5191E" w:rsidRPr="002B1CD2">
        <w:rPr>
          <w:rFonts w:ascii="Times New Roman" w:hAnsi="Times New Roman" w:cs="Angsana New"/>
          <w:b/>
          <w:bCs/>
          <w:sz w:val="28"/>
          <w:szCs w:val="28"/>
          <w:shd w:val="clear" w:color="auto" w:fill="FFFFFF"/>
        </w:rPr>
        <w:t>waste nobody owns</w:t>
      </w:r>
      <w:r w:rsidRPr="002B1CD2">
        <w:rPr>
          <w:rFonts w:ascii="Times New Roman" w:hAnsi="Times New Roman" w:cs="Angsana New"/>
          <w:b/>
          <w:bCs/>
          <w:sz w:val="28"/>
          <w:szCs w:val="28"/>
          <w:shd w:val="clear" w:color="auto" w:fill="FFFFFF"/>
        </w:rPr>
        <w:t xml:space="preserve">: </w:t>
      </w:r>
      <w:r w:rsidR="00A5191E" w:rsidRPr="002B1CD2">
        <w:rPr>
          <w:rFonts w:ascii="Times New Roman" w:hAnsi="Times New Roman" w:cs="Angsana New"/>
          <w:b/>
          <w:bCs/>
          <w:sz w:val="28"/>
          <w:szCs w:val="28"/>
          <w:shd w:val="clear" w:color="auto" w:fill="FFFFFF"/>
        </w:rPr>
        <w:t xml:space="preserve">household hazardous waste and the institutional gap in </w:t>
      </w:r>
      <w:r w:rsidRPr="002B1CD2">
        <w:rPr>
          <w:rFonts w:ascii="Times New Roman" w:hAnsi="Times New Roman" w:cs="Angsana New"/>
          <w:b/>
          <w:bCs/>
          <w:sz w:val="28"/>
          <w:szCs w:val="28"/>
          <w:shd w:val="clear" w:color="auto" w:fill="FFFFFF"/>
        </w:rPr>
        <w:t xml:space="preserve">Thai </w:t>
      </w:r>
      <w:r w:rsidR="00A5191E" w:rsidRPr="002B1CD2">
        <w:rPr>
          <w:rFonts w:ascii="Times New Roman" w:hAnsi="Times New Roman" w:cs="Angsana New"/>
          <w:b/>
          <w:bCs/>
          <w:sz w:val="28"/>
          <w:szCs w:val="28"/>
          <w:shd w:val="clear" w:color="auto" w:fill="FFFFFF"/>
        </w:rPr>
        <w:t>local waste management</w:t>
      </w:r>
    </w:p>
    <w:p w14:paraId="63BDBDE5" w14:textId="77777777" w:rsidR="00D54F7A" w:rsidRPr="002B1CD2" w:rsidRDefault="00D54F7A" w:rsidP="00D54F7A">
      <w:pPr>
        <w:rPr>
          <w:rFonts w:ascii="Times New Roman" w:hAnsi="Times New Roman" w:cs="Times New Roman"/>
          <w:sz w:val="24"/>
          <w:szCs w:val="28"/>
        </w:rPr>
      </w:pPr>
    </w:p>
    <w:p w14:paraId="01C303D6" w14:textId="0BE03670" w:rsidR="00D54F7A" w:rsidRPr="002B1CD2" w:rsidRDefault="00A508A0" w:rsidP="00D54F7A">
      <w:pPr>
        <w:rPr>
          <w:rFonts w:ascii="Times New Roman" w:hAnsi="Times New Roman" w:cs="Times New Roman"/>
          <w:sz w:val="24"/>
          <w:szCs w:val="28"/>
        </w:rPr>
      </w:pPr>
      <w:r w:rsidRPr="002B1CD2">
        <w:rPr>
          <w:rFonts w:ascii="Times New Roman" w:hAnsi="Times New Roman" w:cs="Times New Roman"/>
          <w:sz w:val="24"/>
          <w:szCs w:val="28"/>
        </w:rPr>
        <w:t>Arisa Amartmontree</w:t>
      </w:r>
      <w:r w:rsidR="00EB1E81" w:rsidRPr="002B1CD2">
        <w:rPr>
          <w:rFonts w:ascii="Times New Roman" w:hAnsi="Times New Roman" w:cs="Times New Roman"/>
          <w:sz w:val="24"/>
          <w:szCs w:val="28"/>
        </w:rPr>
        <w:t xml:space="preserve"> </w:t>
      </w:r>
      <w:r w:rsidR="002A71A8" w:rsidRPr="002B1CD2">
        <w:rPr>
          <w:rFonts w:ascii="Times New Roman" w:hAnsi="Times New Roman" w:cs="Times New Roman"/>
          <w:sz w:val="24"/>
          <w:szCs w:val="28"/>
          <w:vertAlign w:val="superscript"/>
        </w:rPr>
        <w:t>1</w:t>
      </w:r>
      <w:r w:rsidR="005203C2" w:rsidRPr="002B1CD2">
        <w:rPr>
          <w:rFonts w:ascii="Times New Roman" w:hAnsi="Times New Roman" w:cs="Times New Roman"/>
          <w:sz w:val="24"/>
          <w:szCs w:val="28"/>
        </w:rPr>
        <w:t>, Phimthong Suwanchairob</w:t>
      </w:r>
      <w:r w:rsidR="005203C2" w:rsidRPr="002B1CD2">
        <w:rPr>
          <w:rFonts w:ascii="Times New Roman" w:hAnsi="Times New Roman" w:cs="Times New Roman"/>
          <w:sz w:val="24"/>
          <w:szCs w:val="28"/>
          <w:vertAlign w:val="superscript"/>
        </w:rPr>
        <w:t>2*</w:t>
      </w:r>
      <w:r w:rsidR="005203C2" w:rsidRPr="002B1CD2">
        <w:rPr>
          <w:rFonts w:ascii="Times New Roman" w:hAnsi="Times New Roman" w:cs="Times New Roman"/>
          <w:sz w:val="24"/>
          <w:szCs w:val="28"/>
        </w:rPr>
        <w:t xml:space="preserve"> </w:t>
      </w:r>
    </w:p>
    <w:p w14:paraId="28921F2A" w14:textId="77777777" w:rsidR="00D54F7A" w:rsidRPr="002B1CD2" w:rsidRDefault="00D54F7A" w:rsidP="00D54F7A">
      <w:pPr>
        <w:rPr>
          <w:rFonts w:ascii="Times New Roman" w:hAnsi="Times New Roman" w:cs="Times New Roman"/>
          <w:sz w:val="24"/>
          <w:szCs w:val="28"/>
          <w:vertAlign w:val="superscript"/>
        </w:rPr>
      </w:pPr>
    </w:p>
    <w:p w14:paraId="1A2FFBF4" w14:textId="422FDAF1" w:rsidR="007430A1" w:rsidRPr="002B1CD2" w:rsidRDefault="002A71A8" w:rsidP="00D54F7A">
      <w:pPr>
        <w:rPr>
          <w:rFonts w:ascii="Times New Roman" w:hAnsi="Times New Roman" w:cs="Times New Roman"/>
          <w:sz w:val="24"/>
          <w:szCs w:val="28"/>
        </w:rPr>
      </w:pPr>
      <w:r w:rsidRPr="002B1CD2">
        <w:rPr>
          <w:rFonts w:ascii="Times New Roman" w:hAnsi="Times New Roman" w:cs="Times New Roman"/>
          <w:sz w:val="24"/>
          <w:szCs w:val="28"/>
          <w:vertAlign w:val="superscript"/>
        </w:rPr>
        <w:t>1</w:t>
      </w:r>
      <w:r w:rsidR="000A7F0A" w:rsidRPr="002B1CD2">
        <w:rPr>
          <w:rFonts w:ascii="Times New Roman" w:hAnsi="Times New Roman" w:cs="Times New Roman"/>
          <w:sz w:val="24"/>
          <w:szCs w:val="28"/>
          <w:vertAlign w:val="superscript"/>
        </w:rPr>
        <w:t>, 2</w:t>
      </w:r>
      <w:r w:rsidR="00EB1E81" w:rsidRPr="002B1CD2">
        <w:rPr>
          <w:rFonts w:ascii="Times New Roman" w:hAnsi="Times New Roman" w:cs="Times New Roman"/>
          <w:sz w:val="24"/>
          <w:szCs w:val="28"/>
        </w:rPr>
        <w:t xml:space="preserve"> </w:t>
      </w:r>
      <w:r w:rsidR="00A508A0" w:rsidRPr="002B1CD2">
        <w:rPr>
          <w:rFonts w:ascii="Times New Roman" w:hAnsi="Times New Roman" w:cs="Times New Roman"/>
          <w:sz w:val="24"/>
          <w:szCs w:val="28"/>
        </w:rPr>
        <w:t>Public Administration Programme, Faculty of Management Science, Sakon Nakhon Rajabhat University, Thailand</w:t>
      </w:r>
    </w:p>
    <w:p w14:paraId="15B0EF23" w14:textId="782ECB2A" w:rsidR="00D54F7A" w:rsidRPr="002B1CD2" w:rsidRDefault="00D54F7A" w:rsidP="00D54F7A">
      <w:pPr>
        <w:rPr>
          <w:rFonts w:ascii="Times New Roman" w:hAnsi="Times New Roman" w:cs="Times New Roman"/>
          <w:sz w:val="24"/>
          <w:szCs w:val="28"/>
        </w:rPr>
      </w:pPr>
      <w:r w:rsidRPr="002B1CD2">
        <w:rPr>
          <w:rFonts w:ascii="Times New Roman" w:hAnsi="Times New Roman" w:cs="Times New Roman" w:hint="cs"/>
          <w:sz w:val="24"/>
          <w:szCs w:val="28"/>
          <w:cs/>
        </w:rPr>
        <w:t>*</w:t>
      </w:r>
      <w:r w:rsidRPr="002B1CD2">
        <w:rPr>
          <w:rFonts w:ascii="Times New Roman" w:hAnsi="Times New Roman" w:cs="Times New Roman" w:hint="cs"/>
          <w:sz w:val="24"/>
          <w:szCs w:val="28"/>
        </w:rPr>
        <w:t>Corresponding author</w:t>
      </w:r>
      <w:r w:rsidRPr="002B1CD2">
        <w:rPr>
          <w:rFonts w:ascii="Times New Roman" w:hAnsi="Times New Roman" w:cs="Times New Roman" w:hint="cs"/>
          <w:sz w:val="24"/>
          <w:szCs w:val="28"/>
          <w:cs/>
        </w:rPr>
        <w:t>’</w:t>
      </w:r>
      <w:r w:rsidRPr="002B1CD2">
        <w:rPr>
          <w:rFonts w:ascii="Times New Roman" w:hAnsi="Times New Roman" w:cs="Times New Roman" w:hint="cs"/>
          <w:sz w:val="24"/>
          <w:szCs w:val="28"/>
        </w:rPr>
        <w:t>s e</w:t>
      </w:r>
      <w:r w:rsidRPr="002B1CD2">
        <w:rPr>
          <w:rFonts w:ascii="Times New Roman" w:hAnsi="Times New Roman" w:cs="Times New Roman" w:hint="cs"/>
          <w:sz w:val="24"/>
          <w:szCs w:val="28"/>
          <w:cs/>
        </w:rPr>
        <w:t>-</w:t>
      </w:r>
      <w:r w:rsidRPr="002B1CD2">
        <w:rPr>
          <w:rFonts w:ascii="Times New Roman" w:hAnsi="Times New Roman" w:cs="Times New Roman" w:hint="cs"/>
          <w:sz w:val="24"/>
          <w:szCs w:val="28"/>
        </w:rPr>
        <w:t>mail</w:t>
      </w:r>
      <w:r w:rsidRPr="002B1CD2">
        <w:rPr>
          <w:rFonts w:ascii="Times New Roman" w:hAnsi="Times New Roman" w:cs="Times New Roman" w:hint="cs"/>
          <w:sz w:val="24"/>
          <w:szCs w:val="28"/>
          <w:cs/>
        </w:rPr>
        <w:t xml:space="preserve">: </w:t>
      </w:r>
      <w:r w:rsidR="00A508A0" w:rsidRPr="002B1CD2">
        <w:rPr>
          <w:rFonts w:ascii="Times New Roman" w:hAnsi="Times New Roman" w:cs="Times New Roman"/>
          <w:sz w:val="24"/>
          <w:szCs w:val="28"/>
        </w:rPr>
        <w:t>xrisaxamatmntri38@gmail.com</w:t>
      </w:r>
    </w:p>
    <w:p w14:paraId="362F2942" w14:textId="66673D0C" w:rsidR="00FB0A46" w:rsidRPr="002B1CD2" w:rsidRDefault="00FB0A46" w:rsidP="00611A06">
      <w:pPr>
        <w:widowControl w:val="0"/>
        <w:rPr>
          <w:rFonts w:ascii="Times New Roman" w:hAnsi="Times New Roman" w:cs="Times New Roman"/>
          <w:sz w:val="24"/>
          <w:szCs w:val="24"/>
        </w:rPr>
      </w:pPr>
    </w:p>
    <w:tbl>
      <w:tblPr>
        <w:tblStyle w:val="31"/>
        <w:tblW w:w="918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81"/>
        <w:gridCol w:w="6199"/>
      </w:tblGrid>
      <w:tr w:rsidR="00A5191E" w:rsidRPr="002B1CD2" w14:paraId="250E1A18" w14:textId="77777777" w:rsidTr="007C2C65">
        <w:tc>
          <w:tcPr>
            <w:tcW w:w="2700" w:type="dxa"/>
            <w:tcBorders>
              <w:bottom w:val="single" w:sz="4" w:space="0" w:color="auto"/>
            </w:tcBorders>
          </w:tcPr>
          <w:p w14:paraId="20D2C1E9" w14:textId="77777777" w:rsidR="003473C0" w:rsidRPr="002B1CD2" w:rsidRDefault="003473C0" w:rsidP="003473C0">
            <w:pPr>
              <w:rPr>
                <w:rFonts w:ascii="Times New Roman" w:eastAsia="Times New Roman" w:hAnsi="Times New Roman" w:cs="Times New Roman"/>
                <w:spacing w:val="20"/>
                <w:sz w:val="20"/>
                <w:szCs w:val="20"/>
              </w:rPr>
            </w:pPr>
            <w:bookmarkStart w:id="0" w:name="_Hlk215768870"/>
          </w:p>
          <w:p w14:paraId="5065B87F" w14:textId="77777777" w:rsidR="003473C0" w:rsidRPr="002B1CD2" w:rsidRDefault="003473C0" w:rsidP="003473C0">
            <w:pPr>
              <w:rPr>
                <w:rFonts w:ascii="Times New Roman" w:eastAsia="Times New Roman" w:hAnsi="Times New Roman" w:cs="Times New Roman"/>
                <w:spacing w:val="20"/>
                <w:sz w:val="20"/>
                <w:szCs w:val="20"/>
              </w:rPr>
            </w:pPr>
            <w:r w:rsidRPr="002B1CD2">
              <w:rPr>
                <w:rFonts w:ascii="Times New Roman" w:eastAsia="Times New Roman" w:hAnsi="Times New Roman" w:cs="Times New Roman"/>
                <w:spacing w:val="20"/>
                <w:sz w:val="20"/>
                <w:szCs w:val="20"/>
              </w:rPr>
              <w:t>ARTICLE INFO</w:t>
            </w:r>
          </w:p>
        </w:tc>
        <w:tc>
          <w:tcPr>
            <w:tcW w:w="281" w:type="dxa"/>
          </w:tcPr>
          <w:p w14:paraId="6963CA75" w14:textId="77777777" w:rsidR="003473C0" w:rsidRPr="002B1CD2" w:rsidRDefault="003473C0" w:rsidP="003473C0">
            <w:pPr>
              <w:rPr>
                <w:rFonts w:ascii="Times New Roman" w:eastAsia="Times New Roman" w:hAnsi="Times New Roman" w:cs="Times New Roman"/>
                <w:spacing w:val="20"/>
                <w:sz w:val="20"/>
                <w:szCs w:val="20"/>
              </w:rPr>
            </w:pPr>
          </w:p>
        </w:tc>
        <w:tc>
          <w:tcPr>
            <w:tcW w:w="6199" w:type="dxa"/>
            <w:tcBorders>
              <w:bottom w:val="single" w:sz="4" w:space="0" w:color="auto"/>
            </w:tcBorders>
          </w:tcPr>
          <w:p w14:paraId="345AE10B" w14:textId="77777777" w:rsidR="003473C0" w:rsidRPr="002B1CD2" w:rsidRDefault="003473C0" w:rsidP="003473C0">
            <w:pPr>
              <w:rPr>
                <w:rFonts w:ascii="Times New Roman" w:eastAsia="Times New Roman" w:hAnsi="Times New Roman" w:cs="Times New Roman"/>
                <w:spacing w:val="20"/>
                <w:sz w:val="20"/>
                <w:szCs w:val="20"/>
              </w:rPr>
            </w:pPr>
          </w:p>
          <w:p w14:paraId="1D78241C" w14:textId="77777777" w:rsidR="003473C0" w:rsidRPr="002B1CD2" w:rsidRDefault="003473C0" w:rsidP="003473C0">
            <w:pPr>
              <w:rPr>
                <w:rFonts w:ascii="Times New Roman" w:eastAsia="Times New Roman" w:hAnsi="Times New Roman" w:cs="Times New Roman"/>
                <w:spacing w:val="20"/>
                <w:sz w:val="20"/>
                <w:szCs w:val="20"/>
              </w:rPr>
            </w:pPr>
            <w:r w:rsidRPr="002B1CD2">
              <w:rPr>
                <w:rFonts w:ascii="Times New Roman" w:eastAsia="Times New Roman" w:hAnsi="Times New Roman" w:cs="Times New Roman"/>
                <w:spacing w:val="20"/>
                <w:sz w:val="20"/>
                <w:szCs w:val="20"/>
              </w:rPr>
              <w:t>ABSTRACT</w:t>
            </w:r>
          </w:p>
        </w:tc>
      </w:tr>
      <w:tr w:rsidR="00A5191E" w:rsidRPr="002B1CD2" w14:paraId="12A35DBB" w14:textId="77777777" w:rsidTr="007C2C65">
        <w:tc>
          <w:tcPr>
            <w:tcW w:w="2700" w:type="dxa"/>
            <w:tcBorders>
              <w:top w:val="single" w:sz="4" w:space="0" w:color="auto"/>
              <w:bottom w:val="single" w:sz="4" w:space="0" w:color="auto"/>
            </w:tcBorders>
          </w:tcPr>
          <w:p w14:paraId="290BCEFB" w14:textId="77777777" w:rsidR="003473C0" w:rsidRPr="002B1CD2" w:rsidRDefault="003473C0" w:rsidP="003473C0">
            <w:pPr>
              <w:rPr>
                <w:rFonts w:ascii="Times New Roman" w:eastAsia="TH SarabunPSK" w:hAnsi="Times New Roman" w:cstheme="minorBidi"/>
                <w:kern w:val="2"/>
                <w:sz w:val="20"/>
                <w:szCs w:val="20"/>
                <w:lang w:eastAsia="zh-CN"/>
                <w14:ligatures w14:val="standardContextual"/>
              </w:rPr>
            </w:pPr>
            <w:r w:rsidRPr="002B1CD2">
              <w:rPr>
                <w:rFonts w:ascii="Times New Roman" w:eastAsia="TH SarabunPSK" w:hAnsi="Times New Roman" w:cs="Times New Roman"/>
                <w:kern w:val="2"/>
                <w:sz w:val="20"/>
                <w:szCs w:val="20"/>
                <w:lang w:eastAsia="zh-CN"/>
                <w14:ligatures w14:val="standardContextual"/>
              </w:rPr>
              <w:t>Article history</w:t>
            </w:r>
            <w:r w:rsidRPr="002B1CD2">
              <w:rPr>
                <w:rFonts w:ascii="Times New Roman" w:eastAsia="TH SarabunPSK" w:hAnsi="Times New Roman" w:cs="Angsana New"/>
                <w:kern w:val="2"/>
                <w:sz w:val="20"/>
                <w:szCs w:val="20"/>
                <w:cs/>
                <w:lang w:eastAsia="zh-CN"/>
                <w14:ligatures w14:val="standardContextual"/>
              </w:rPr>
              <w:t>:</w:t>
            </w:r>
          </w:p>
          <w:p w14:paraId="39A1A876" w14:textId="1080F0F6" w:rsidR="007C2C65" w:rsidRPr="002B1CD2" w:rsidRDefault="007C2C65" w:rsidP="007C2C65">
            <w:pPr>
              <w:rPr>
                <w:rFonts w:ascii="Times New Roman" w:eastAsia="TH SarabunPSK" w:hAnsi="Times New Roman" w:cs="Times New Roman"/>
                <w:kern w:val="2"/>
                <w:sz w:val="20"/>
                <w:szCs w:val="20"/>
                <w:lang w:eastAsia="zh-CN"/>
                <w14:ligatures w14:val="standardContextual"/>
              </w:rPr>
            </w:pPr>
            <w:r w:rsidRPr="002B1CD2">
              <w:rPr>
                <w:rFonts w:ascii="Times New Roman" w:eastAsia="TH SarabunPSK" w:hAnsi="Times New Roman" w:cs="Times New Roman"/>
                <w:kern w:val="2"/>
                <w:sz w:val="20"/>
                <w:szCs w:val="20"/>
                <w:lang w:eastAsia="zh-CN"/>
                <w14:ligatures w14:val="standardContextual"/>
              </w:rPr>
              <w:t xml:space="preserve">Received: </w:t>
            </w:r>
            <w:r w:rsidR="00F4490A" w:rsidRPr="002B1CD2">
              <w:rPr>
                <w:rFonts w:ascii="Times New Roman" w:eastAsia="TH SarabunPSK" w:hAnsi="Times New Roman" w:cs="Times New Roman"/>
                <w:kern w:val="2"/>
                <w:sz w:val="20"/>
                <w:szCs w:val="20"/>
                <w:lang w:eastAsia="zh-CN"/>
                <w14:ligatures w14:val="standardContextual"/>
              </w:rPr>
              <w:t>Feb</w:t>
            </w:r>
            <w:r w:rsidR="009423E6" w:rsidRPr="002B1CD2">
              <w:rPr>
                <w:rFonts w:ascii="Times New Roman" w:eastAsia="TH SarabunPSK" w:hAnsi="Times New Roman" w:cs="Times New Roman"/>
                <w:kern w:val="2"/>
                <w:sz w:val="20"/>
                <w:szCs w:val="20"/>
                <w:lang w:eastAsia="zh-CN"/>
                <w14:ligatures w14:val="standardContextual"/>
              </w:rPr>
              <w:t>r</w:t>
            </w:r>
            <w:r w:rsidR="00F4490A" w:rsidRPr="002B1CD2">
              <w:rPr>
                <w:rFonts w:ascii="Times New Roman" w:eastAsia="TH SarabunPSK" w:hAnsi="Times New Roman" w:cs="Times New Roman"/>
                <w:kern w:val="2"/>
                <w:sz w:val="20"/>
                <w:szCs w:val="20"/>
                <w:lang w:eastAsia="zh-CN"/>
                <w14:ligatures w14:val="standardContextual"/>
              </w:rPr>
              <w:t>uary</w:t>
            </w:r>
            <w:r w:rsidR="00541DE3" w:rsidRPr="002B1CD2">
              <w:rPr>
                <w:rFonts w:ascii="Times New Roman" w:eastAsia="TH SarabunPSK" w:hAnsi="Times New Roman" w:cs="Times New Roman"/>
                <w:kern w:val="2"/>
                <w:sz w:val="20"/>
                <w:szCs w:val="20"/>
                <w:lang w:eastAsia="zh-CN"/>
                <w14:ligatures w14:val="standardContextual"/>
              </w:rPr>
              <w:t xml:space="preserve"> </w:t>
            </w:r>
            <w:r w:rsidR="00F4490A" w:rsidRPr="002B1CD2">
              <w:rPr>
                <w:rFonts w:ascii="Times New Roman" w:eastAsia="TH SarabunPSK" w:hAnsi="Times New Roman" w:cs="Times New Roman"/>
                <w:kern w:val="2"/>
                <w:sz w:val="20"/>
                <w:szCs w:val="20"/>
                <w:lang w:eastAsia="zh-CN"/>
                <w14:ligatures w14:val="standardContextual"/>
              </w:rPr>
              <w:t>16</w:t>
            </w:r>
            <w:r w:rsidR="00541DE3" w:rsidRPr="002B1CD2">
              <w:rPr>
                <w:rFonts w:ascii="Times New Roman" w:eastAsia="TH SarabunPSK" w:hAnsi="Times New Roman" w:cs="Times New Roman"/>
                <w:kern w:val="2"/>
                <w:sz w:val="20"/>
                <w:szCs w:val="20"/>
                <w:lang w:eastAsia="zh-CN"/>
                <w14:ligatures w14:val="standardContextual"/>
              </w:rPr>
              <w:t>, 2026</w:t>
            </w:r>
          </w:p>
          <w:p w14:paraId="09C89C19" w14:textId="08893A40" w:rsidR="007C2C65" w:rsidRPr="002B1CD2" w:rsidRDefault="007C2C65" w:rsidP="007C2C65">
            <w:pPr>
              <w:rPr>
                <w:rFonts w:ascii="Times New Roman" w:eastAsia="TH SarabunPSK" w:hAnsi="Times New Roman" w:cs="Times New Roman"/>
                <w:kern w:val="2"/>
                <w:sz w:val="20"/>
                <w:szCs w:val="20"/>
                <w:lang w:eastAsia="zh-CN"/>
                <w14:ligatures w14:val="standardContextual"/>
              </w:rPr>
            </w:pPr>
            <w:r w:rsidRPr="002B1CD2">
              <w:rPr>
                <w:rFonts w:ascii="Times New Roman" w:eastAsia="TH SarabunPSK" w:hAnsi="Times New Roman" w:cs="Times New Roman"/>
                <w:kern w:val="2"/>
                <w:sz w:val="20"/>
                <w:szCs w:val="20"/>
                <w:lang w:eastAsia="zh-CN"/>
                <w14:ligatures w14:val="standardContextual"/>
              </w:rPr>
              <w:t xml:space="preserve">Revised: </w:t>
            </w:r>
            <w:r w:rsidR="00F4490A" w:rsidRPr="002B1CD2">
              <w:rPr>
                <w:rFonts w:ascii="Times New Roman" w:eastAsia="TH SarabunPSK" w:hAnsi="Times New Roman" w:cs="Times New Roman"/>
                <w:kern w:val="2"/>
                <w:sz w:val="20"/>
                <w:szCs w:val="20"/>
                <w:lang w:eastAsia="zh-CN"/>
                <w14:ligatures w14:val="standardContextual"/>
              </w:rPr>
              <w:t>August</w:t>
            </w:r>
            <w:r w:rsidR="00541DE3" w:rsidRPr="002B1CD2">
              <w:rPr>
                <w:rFonts w:ascii="Times New Roman" w:eastAsia="TH SarabunPSK" w:hAnsi="Times New Roman" w:cs="Times New Roman"/>
                <w:kern w:val="2"/>
                <w:sz w:val="20"/>
                <w:szCs w:val="20"/>
                <w:lang w:eastAsia="zh-CN"/>
                <w14:ligatures w14:val="standardContextual"/>
              </w:rPr>
              <w:t xml:space="preserve"> </w:t>
            </w:r>
            <w:r w:rsidR="00F4490A" w:rsidRPr="002B1CD2">
              <w:rPr>
                <w:rFonts w:ascii="Times New Roman" w:eastAsia="TH SarabunPSK" w:hAnsi="Times New Roman" w:cs="Times New Roman"/>
                <w:kern w:val="2"/>
                <w:sz w:val="20"/>
                <w:szCs w:val="20"/>
                <w:lang w:eastAsia="zh-CN"/>
                <w14:ligatures w14:val="standardContextual"/>
              </w:rPr>
              <w:t>30</w:t>
            </w:r>
            <w:r w:rsidR="00541DE3" w:rsidRPr="002B1CD2">
              <w:rPr>
                <w:rFonts w:ascii="Times New Roman" w:eastAsia="TH SarabunPSK" w:hAnsi="Times New Roman" w:cs="Times New Roman"/>
                <w:kern w:val="2"/>
                <w:sz w:val="20"/>
                <w:szCs w:val="20"/>
                <w:lang w:eastAsia="zh-CN"/>
                <w14:ligatures w14:val="standardContextual"/>
              </w:rPr>
              <w:t>, 2026</w:t>
            </w:r>
          </w:p>
          <w:p w14:paraId="4DFB2FFF" w14:textId="3C2CF182" w:rsidR="003473C0" w:rsidRPr="002B1CD2" w:rsidRDefault="007C2C65" w:rsidP="007C2C65">
            <w:pPr>
              <w:rPr>
                <w:rFonts w:ascii="Times New Roman" w:eastAsia="Times New Roman" w:hAnsi="Times New Roman" w:cs="Times New Roman"/>
                <w:sz w:val="20"/>
                <w:szCs w:val="20"/>
              </w:rPr>
            </w:pPr>
            <w:r w:rsidRPr="002B1CD2">
              <w:rPr>
                <w:rFonts w:ascii="Times New Roman" w:eastAsia="TH SarabunPSK" w:hAnsi="Times New Roman" w:cs="Times New Roman"/>
                <w:kern w:val="2"/>
                <w:sz w:val="20"/>
                <w:szCs w:val="20"/>
                <w:lang w:eastAsia="zh-CN"/>
                <w14:ligatures w14:val="standardContextual"/>
              </w:rPr>
              <w:t xml:space="preserve">Accepted: </w:t>
            </w:r>
            <w:r w:rsidR="00F4490A" w:rsidRPr="002B1CD2">
              <w:rPr>
                <w:rFonts w:ascii="Times New Roman" w:eastAsia="TH SarabunPSK" w:hAnsi="Times New Roman" w:cs="Times New Roman"/>
                <w:kern w:val="2"/>
                <w:sz w:val="20"/>
                <w:szCs w:val="20"/>
                <w:lang w:eastAsia="zh-CN"/>
                <w14:ligatures w14:val="standardContextual"/>
              </w:rPr>
              <w:t>August</w:t>
            </w:r>
            <w:r w:rsidR="00B3104D" w:rsidRPr="002B1CD2">
              <w:rPr>
                <w:rFonts w:ascii="Times New Roman" w:eastAsia="TH SarabunPSK" w:hAnsi="Times New Roman" w:cs="Times New Roman"/>
                <w:kern w:val="2"/>
                <w:sz w:val="20"/>
                <w:szCs w:val="20"/>
                <w:lang w:eastAsia="zh-CN"/>
                <w14:ligatures w14:val="standardContextual"/>
              </w:rPr>
              <w:t xml:space="preserve"> </w:t>
            </w:r>
            <w:r w:rsidR="00F4490A" w:rsidRPr="002B1CD2">
              <w:rPr>
                <w:rFonts w:ascii="Times New Roman" w:eastAsia="TH SarabunPSK" w:hAnsi="Times New Roman" w:cs="Times New Roman"/>
                <w:kern w:val="2"/>
                <w:sz w:val="20"/>
                <w:szCs w:val="20"/>
                <w:lang w:eastAsia="zh-CN"/>
                <w14:ligatures w14:val="standardContextual"/>
              </w:rPr>
              <w:t>31</w:t>
            </w:r>
            <w:r w:rsidR="00B3104D" w:rsidRPr="002B1CD2">
              <w:rPr>
                <w:rFonts w:ascii="Times New Roman" w:eastAsia="TH SarabunPSK" w:hAnsi="Times New Roman" w:cs="Times New Roman"/>
                <w:kern w:val="2"/>
                <w:sz w:val="20"/>
                <w:szCs w:val="20"/>
                <w:lang w:eastAsia="zh-CN"/>
                <w14:ligatures w14:val="standardContextual"/>
              </w:rPr>
              <w:t>, 2026</w:t>
            </w:r>
            <w:r w:rsidR="003473C0" w:rsidRPr="002B1CD2">
              <w:rPr>
                <w:rFonts w:ascii="Times New Roman" w:eastAsia="Times New Roman" w:hAnsi="Times New Roman" w:cs="Angsana New"/>
                <w:sz w:val="20"/>
                <w:szCs w:val="20"/>
                <w:cs/>
              </w:rPr>
              <w:t xml:space="preserve"> </w:t>
            </w:r>
          </w:p>
        </w:tc>
        <w:tc>
          <w:tcPr>
            <w:tcW w:w="281" w:type="dxa"/>
          </w:tcPr>
          <w:p w14:paraId="386D262D" w14:textId="77777777" w:rsidR="003473C0" w:rsidRPr="002B1CD2" w:rsidRDefault="003473C0" w:rsidP="003473C0">
            <w:pPr>
              <w:rPr>
                <w:rFonts w:ascii="Times New Roman" w:eastAsia="Times New Roman" w:hAnsi="Times New Roman" w:cs="Times New Roman"/>
                <w:sz w:val="20"/>
                <w:szCs w:val="20"/>
              </w:rPr>
            </w:pPr>
          </w:p>
        </w:tc>
        <w:tc>
          <w:tcPr>
            <w:tcW w:w="6199" w:type="dxa"/>
            <w:vMerge w:val="restart"/>
            <w:tcBorders>
              <w:top w:val="single" w:sz="4" w:space="0" w:color="auto"/>
              <w:bottom w:val="single" w:sz="4" w:space="0" w:color="auto"/>
            </w:tcBorders>
            <w:shd w:val="clear" w:color="auto" w:fill="F2F2F2" w:themeFill="background1" w:themeFillShade="F2"/>
          </w:tcPr>
          <w:p w14:paraId="4E5E4C56" w14:textId="06E3273F" w:rsidR="009F7B35" w:rsidRPr="002B1CD2" w:rsidRDefault="00A508A0" w:rsidP="00020D10">
            <w:pPr>
              <w:jc w:val="thaiDistribute"/>
              <w:rPr>
                <w:rFonts w:ascii="Times New Roman" w:hAnsi="Times New Roman" w:cs="Times New Roman"/>
                <w:sz w:val="20"/>
                <w:szCs w:val="20"/>
              </w:rPr>
            </w:pPr>
            <w:r w:rsidRPr="002B1CD2">
              <w:rPr>
                <w:rFonts w:ascii="Times New Roman" w:hAnsi="Times New Roman" w:cs="Times New Roman"/>
                <w:sz w:val="20"/>
                <w:szCs w:val="20"/>
              </w:rPr>
              <w:t>In 2024 Thailand generated 685,999 tons of household hazardous waste, of which 445,899 tons, or about 65 percent, consisted of waste electrical and electronic equipment. That volume represents roughly two and a half percent of the 27.20 million tons of municipal solid waste generated in the same year. This academic article argues that this small share is precisely the problem. Thailand's national waste target, set by the Thirteenth National Economic and Social Development Plan at a utilization rate of at least 40 percent by 2027, is expressed in tonnage. Under a tonnage metric, investment in household hazardous waste yields almost no measurable improvement, so local administrative organizations acting rationally will deprioritize it. The article identifies three reinforcing institutional gaps: an incentive gap created by the tonnage metric itself; a scale gap, because the volume arising in any single local administrative organization is too small to justify a dedicated facility; and a downstream responsibility gap, because producers of batteries, lamps and electronic equipment bear no statutory take-back obligation. Composition surveys conducted at disposal sites in 2024 confirm the consequence: household hazardous waste and electronic waste continue to arrive at disposal sites mixed with general waste. The article proposes the 3S model, comprising separation at source, scaling through provincial clustering, and shifting responsibility upstream through extended producer responsibility, together with a risk-weighted indicator to replace the tonnage metric for this waste stream.</w:t>
            </w:r>
          </w:p>
        </w:tc>
      </w:tr>
      <w:tr w:rsidR="00A5191E" w:rsidRPr="002B1CD2" w14:paraId="7E0B0DA4" w14:textId="77777777" w:rsidTr="007C2C65">
        <w:tc>
          <w:tcPr>
            <w:tcW w:w="2700" w:type="dxa"/>
            <w:tcBorders>
              <w:top w:val="single" w:sz="4" w:space="0" w:color="auto"/>
              <w:bottom w:val="single" w:sz="4" w:space="0" w:color="auto"/>
            </w:tcBorders>
          </w:tcPr>
          <w:p w14:paraId="69018B8A" w14:textId="77777777" w:rsidR="005203C2" w:rsidRPr="002B1CD2" w:rsidRDefault="005203C2" w:rsidP="00160EBB">
            <w:pPr>
              <w:rPr>
                <w:rFonts w:ascii="Times New Roman" w:eastAsia="Times New Roman" w:hAnsi="Times New Roman" w:cs="Times New Roman"/>
                <w:sz w:val="20"/>
                <w:szCs w:val="20"/>
              </w:rPr>
            </w:pPr>
          </w:p>
          <w:p w14:paraId="4077F3FE" w14:textId="77777777" w:rsidR="005203C2" w:rsidRPr="002B1CD2" w:rsidRDefault="003473C0" w:rsidP="00160EBB">
            <w:pPr>
              <w:rPr>
                <w:rFonts w:ascii="Times New Roman" w:eastAsia="Times New Roman" w:hAnsi="Times New Roman" w:cs="Angsana New"/>
                <w:sz w:val="20"/>
                <w:szCs w:val="20"/>
              </w:rPr>
            </w:pPr>
            <w:r w:rsidRPr="002B1CD2">
              <w:rPr>
                <w:rFonts w:ascii="Times New Roman" w:eastAsia="Times New Roman" w:hAnsi="Times New Roman" w:cs="Times New Roman"/>
                <w:sz w:val="20"/>
                <w:szCs w:val="20"/>
              </w:rPr>
              <w:t>Keyword</w:t>
            </w:r>
            <w:r w:rsidRPr="002B1CD2">
              <w:rPr>
                <w:rFonts w:ascii="Times New Roman" w:eastAsia="Times New Roman" w:hAnsi="Times New Roman" w:cs="Angsana New"/>
                <w:sz w:val="20"/>
                <w:szCs w:val="20"/>
                <w:cs/>
              </w:rPr>
              <w:t>:</w:t>
            </w:r>
            <w:r w:rsidR="00E71182" w:rsidRPr="002B1CD2">
              <w:rPr>
                <w:rFonts w:ascii="Times New Roman" w:eastAsia="Times New Roman" w:hAnsi="Times New Roman" w:cs="Angsana New"/>
                <w:sz w:val="20"/>
                <w:szCs w:val="20"/>
                <w:cs/>
              </w:rPr>
              <w:t xml:space="preserve"> </w:t>
            </w:r>
          </w:p>
          <w:p w14:paraId="051A74A0" w14:textId="77777777" w:rsidR="005203C2" w:rsidRPr="002B1CD2" w:rsidRDefault="00A508A0" w:rsidP="00160EBB">
            <w:pPr>
              <w:rPr>
                <w:rFonts w:ascii="Times New Roman" w:eastAsia="Times New Roman" w:hAnsi="Times New Roman" w:cs="Times New Roman"/>
                <w:sz w:val="20"/>
                <w:szCs w:val="20"/>
              </w:rPr>
            </w:pPr>
            <w:r w:rsidRPr="002B1CD2">
              <w:rPr>
                <w:rFonts w:ascii="Times New Roman" w:eastAsia="Times New Roman" w:hAnsi="Times New Roman" w:cs="Times New Roman"/>
                <w:sz w:val="20"/>
                <w:szCs w:val="20"/>
              </w:rPr>
              <w:t>household hazardous waste,</w:t>
            </w:r>
          </w:p>
          <w:p w14:paraId="7DA21D38" w14:textId="377F2099" w:rsidR="005203C2" w:rsidRPr="002B1CD2" w:rsidRDefault="00A508A0" w:rsidP="00160EBB">
            <w:pPr>
              <w:rPr>
                <w:rFonts w:ascii="Times New Roman" w:eastAsia="Times New Roman" w:hAnsi="Times New Roman" w:cs="Times New Roman"/>
                <w:sz w:val="20"/>
                <w:szCs w:val="20"/>
              </w:rPr>
            </w:pPr>
            <w:r w:rsidRPr="002B1CD2">
              <w:rPr>
                <w:rFonts w:ascii="Times New Roman" w:eastAsia="Times New Roman" w:hAnsi="Times New Roman" w:cs="Times New Roman"/>
                <w:sz w:val="20"/>
                <w:szCs w:val="20"/>
              </w:rPr>
              <w:t>e-waste,</w:t>
            </w:r>
          </w:p>
          <w:p w14:paraId="5A8A4709" w14:textId="77777777" w:rsidR="005203C2" w:rsidRPr="002B1CD2" w:rsidRDefault="00A508A0" w:rsidP="00160EBB">
            <w:pPr>
              <w:rPr>
                <w:rFonts w:ascii="Times New Roman" w:eastAsia="Times New Roman" w:hAnsi="Times New Roman" w:cs="Times New Roman"/>
                <w:sz w:val="20"/>
                <w:szCs w:val="20"/>
              </w:rPr>
            </w:pPr>
            <w:r w:rsidRPr="002B1CD2">
              <w:rPr>
                <w:rFonts w:ascii="Times New Roman" w:eastAsia="Times New Roman" w:hAnsi="Times New Roman" w:cs="Times New Roman"/>
                <w:sz w:val="20"/>
                <w:szCs w:val="20"/>
              </w:rPr>
              <w:t xml:space="preserve">local administrative organizations, </w:t>
            </w:r>
          </w:p>
          <w:p w14:paraId="341563D3" w14:textId="77777777" w:rsidR="005203C2" w:rsidRPr="002B1CD2" w:rsidRDefault="00A508A0" w:rsidP="00160EBB">
            <w:pPr>
              <w:rPr>
                <w:rFonts w:ascii="Times New Roman" w:eastAsia="Times New Roman" w:hAnsi="Times New Roman" w:cs="Times New Roman"/>
                <w:sz w:val="20"/>
                <w:szCs w:val="20"/>
              </w:rPr>
            </w:pPr>
            <w:r w:rsidRPr="002B1CD2">
              <w:rPr>
                <w:rFonts w:ascii="Times New Roman" w:eastAsia="Times New Roman" w:hAnsi="Times New Roman" w:cs="Times New Roman"/>
                <w:sz w:val="20"/>
                <w:szCs w:val="20"/>
              </w:rPr>
              <w:t xml:space="preserve">extended producer responsibility, </w:t>
            </w:r>
          </w:p>
          <w:p w14:paraId="2592A496" w14:textId="64EBD8B9" w:rsidR="00202213" w:rsidRPr="002B1CD2" w:rsidRDefault="00A508A0" w:rsidP="00160EBB">
            <w:pPr>
              <w:rPr>
                <w:rFonts w:ascii="Times New Roman" w:eastAsia="Times New Roman" w:hAnsi="Times New Roman" w:cstheme="minorBidi"/>
                <w:sz w:val="20"/>
                <w:szCs w:val="20"/>
                <w:cs/>
              </w:rPr>
            </w:pPr>
            <w:r w:rsidRPr="002B1CD2">
              <w:rPr>
                <w:rFonts w:ascii="Times New Roman" w:eastAsia="Times New Roman" w:hAnsi="Times New Roman" w:cs="Times New Roman"/>
                <w:sz w:val="20"/>
                <w:szCs w:val="20"/>
              </w:rPr>
              <w:t>performance indicators</w:t>
            </w:r>
          </w:p>
        </w:tc>
        <w:tc>
          <w:tcPr>
            <w:tcW w:w="281" w:type="dxa"/>
          </w:tcPr>
          <w:p w14:paraId="05C0CD96" w14:textId="77777777" w:rsidR="003473C0" w:rsidRPr="002B1CD2" w:rsidRDefault="003473C0" w:rsidP="003473C0">
            <w:pPr>
              <w:rPr>
                <w:rFonts w:ascii="Times New Roman" w:eastAsia="Times New Roman" w:hAnsi="Times New Roman" w:cs="Times New Roman"/>
                <w:sz w:val="20"/>
                <w:szCs w:val="20"/>
              </w:rPr>
            </w:pPr>
          </w:p>
        </w:tc>
        <w:tc>
          <w:tcPr>
            <w:tcW w:w="6199" w:type="dxa"/>
            <w:vMerge/>
            <w:tcBorders>
              <w:top w:val="nil"/>
              <w:bottom w:val="single" w:sz="4" w:space="0" w:color="auto"/>
            </w:tcBorders>
            <w:shd w:val="clear" w:color="auto" w:fill="F2F2F2" w:themeFill="background1" w:themeFillShade="F2"/>
          </w:tcPr>
          <w:p w14:paraId="509BA4B8" w14:textId="77777777" w:rsidR="003473C0" w:rsidRPr="002B1CD2" w:rsidRDefault="003473C0" w:rsidP="003473C0">
            <w:pPr>
              <w:rPr>
                <w:rFonts w:ascii="Times New Roman" w:eastAsia="Times New Roman" w:hAnsi="Times New Roman" w:cs="Times New Roman"/>
                <w:sz w:val="20"/>
                <w:szCs w:val="20"/>
              </w:rPr>
            </w:pPr>
          </w:p>
        </w:tc>
      </w:tr>
      <w:bookmarkEnd w:id="0"/>
    </w:tbl>
    <w:p w14:paraId="640B50DA" w14:textId="6BE14458" w:rsidR="00326AD6" w:rsidRPr="002B1CD2" w:rsidRDefault="00326AD6"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3C07E0A7" w14:textId="15422F47" w:rsidR="00D54F7A" w:rsidRPr="002B1CD2" w:rsidRDefault="00D54F7A"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41B13689" w14:textId="6E11FB6F" w:rsidR="00564B3A" w:rsidRPr="002B1CD2" w:rsidRDefault="00564B3A"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42E7B9ED" w14:textId="26C5BF75" w:rsidR="00A508A0" w:rsidRPr="002B1CD2" w:rsidRDefault="00A508A0"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0B4EBDDB" w14:textId="77777777" w:rsidR="00A508A0" w:rsidRPr="002B1CD2" w:rsidRDefault="00A508A0"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176B847A" w14:textId="77777777" w:rsidR="00FF67B6" w:rsidRPr="002B1CD2" w:rsidRDefault="00FF67B6"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3B22F0F3" w14:textId="77777777" w:rsidR="00577FBE" w:rsidRPr="002B1CD2" w:rsidRDefault="00577FBE"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710C507E" w14:textId="61E16AED" w:rsidR="00D54F7A" w:rsidRPr="002B1CD2" w:rsidRDefault="00A508A0" w:rsidP="00D54F7A">
      <w:pPr>
        <w:widowControl w:val="0"/>
        <w:tabs>
          <w:tab w:val="left" w:pos="720"/>
          <w:tab w:val="left" w:pos="1008"/>
          <w:tab w:val="left" w:pos="1296"/>
          <w:tab w:val="left" w:pos="1584"/>
          <w:tab w:val="left" w:pos="1872"/>
          <w:tab w:val="left" w:pos="2160"/>
        </w:tabs>
        <w:rPr>
          <w:rFonts w:ascii="TH SarabunPSK" w:hAnsi="TH SarabunPSK" w:cs="TH SarabunPSK"/>
          <w:b/>
          <w:bCs/>
          <w:sz w:val="36"/>
          <w:szCs w:val="36"/>
        </w:rPr>
      </w:pPr>
      <w:r w:rsidRPr="002B1CD2">
        <w:rPr>
          <w:rFonts w:ascii="TH SarabunPSK" w:hAnsi="TH SarabunPSK" w:cs="TH SarabunPSK"/>
          <w:b/>
          <w:bCs/>
          <w:sz w:val="36"/>
          <w:szCs w:val="36"/>
          <w:cs/>
        </w:rPr>
        <w:lastRenderedPageBreak/>
        <w:t>ขยะที่ไม่มีใครเป็นเจ้าของ: ของเสียอันตรายจากชุมชนกับช่องว่างเชิงสถาบัน ในการจัดการขยะของท้องถิ่นไทย</w:t>
      </w:r>
    </w:p>
    <w:p w14:paraId="07433D55" w14:textId="77777777" w:rsidR="00B25BFC" w:rsidRPr="002B1CD2" w:rsidRDefault="00B25BFC"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p>
    <w:p w14:paraId="37C2F9C7" w14:textId="5380BB42" w:rsidR="00D54F7A" w:rsidRPr="002B1CD2" w:rsidRDefault="00A508A0"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vertAlign w:val="superscript"/>
          <w:cs/>
        </w:rPr>
      </w:pPr>
      <w:r w:rsidRPr="002B1CD2">
        <w:rPr>
          <w:rFonts w:ascii="TH SarabunPSK" w:hAnsi="TH SarabunPSK" w:cs="TH SarabunPSK"/>
          <w:sz w:val="28"/>
          <w:szCs w:val="28"/>
          <w:cs/>
        </w:rPr>
        <w:t>อริสา อามาตมนตรี</w:t>
      </w:r>
      <w:r w:rsidRPr="002B1CD2">
        <w:rPr>
          <w:rFonts w:ascii="TH SarabunPSK" w:hAnsi="TH SarabunPSK" w:cs="TH SarabunPSK"/>
          <w:sz w:val="28"/>
          <w:szCs w:val="28"/>
        </w:rPr>
        <w:t xml:space="preserve"> </w:t>
      </w:r>
      <w:r w:rsidR="00231A06" w:rsidRPr="002B1CD2">
        <w:rPr>
          <w:rFonts w:ascii="TH SarabunPSK" w:hAnsi="TH SarabunPSK" w:cs="TH SarabunPSK"/>
          <w:sz w:val="28"/>
          <w:szCs w:val="28"/>
          <w:vertAlign w:val="superscript"/>
          <w:cs/>
        </w:rPr>
        <w:t>1</w:t>
      </w:r>
      <w:r w:rsidR="005203C2" w:rsidRPr="002B1CD2">
        <w:rPr>
          <w:rFonts w:ascii="TH SarabunPSK" w:hAnsi="TH SarabunPSK" w:cs="TH SarabunPSK"/>
          <w:sz w:val="28"/>
          <w:szCs w:val="28"/>
        </w:rPr>
        <w:t xml:space="preserve"> </w:t>
      </w:r>
      <w:r w:rsidR="005203C2" w:rsidRPr="002B1CD2">
        <w:rPr>
          <w:rFonts w:ascii="TH SarabunPSK" w:hAnsi="TH SarabunPSK" w:cs="TH SarabunPSK" w:hint="cs"/>
          <w:sz w:val="28"/>
          <w:szCs w:val="28"/>
          <w:cs/>
        </w:rPr>
        <w:t xml:space="preserve">พิมพ์ทอง สุวรรณชัยรบ </w:t>
      </w:r>
      <w:r w:rsidR="005203C2" w:rsidRPr="002B1CD2">
        <w:rPr>
          <w:rFonts w:ascii="TH SarabunPSK" w:hAnsi="TH SarabunPSK" w:cs="TH SarabunPSK" w:hint="cs"/>
          <w:sz w:val="28"/>
          <w:szCs w:val="28"/>
          <w:vertAlign w:val="superscript"/>
          <w:cs/>
        </w:rPr>
        <w:t>2*</w:t>
      </w:r>
    </w:p>
    <w:p w14:paraId="025ECC0D" w14:textId="77777777" w:rsidR="00564B3A" w:rsidRPr="002B1CD2" w:rsidRDefault="00564B3A"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p>
    <w:p w14:paraId="32C332D8" w14:textId="7C3DBFC4" w:rsidR="00C97A1B" w:rsidRPr="002B1CD2" w:rsidRDefault="00231A06"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r w:rsidRPr="002B1CD2">
        <w:rPr>
          <w:rFonts w:ascii="TH SarabunPSK" w:hAnsi="TH SarabunPSK" w:cs="TH SarabunPSK"/>
          <w:sz w:val="28"/>
          <w:szCs w:val="28"/>
          <w:vertAlign w:val="superscript"/>
          <w:cs/>
        </w:rPr>
        <w:t>1</w:t>
      </w:r>
      <w:r w:rsidR="005203C2" w:rsidRPr="002B1CD2">
        <w:rPr>
          <w:rFonts w:ascii="TH SarabunPSK" w:hAnsi="TH SarabunPSK" w:cs="TH SarabunPSK"/>
          <w:sz w:val="28"/>
          <w:szCs w:val="28"/>
          <w:vertAlign w:val="superscript"/>
        </w:rPr>
        <w:t>, 2</w:t>
      </w:r>
      <w:r w:rsidRPr="002B1CD2">
        <w:rPr>
          <w:rFonts w:ascii="TH SarabunPSK" w:hAnsi="TH SarabunPSK" w:cs="TH SarabunPSK"/>
          <w:sz w:val="28"/>
          <w:szCs w:val="28"/>
          <w:cs/>
        </w:rPr>
        <w:t xml:space="preserve"> </w:t>
      </w:r>
      <w:r w:rsidR="00A508A0" w:rsidRPr="002B1CD2">
        <w:rPr>
          <w:rFonts w:ascii="TH SarabunPSK" w:hAnsi="TH SarabunPSK" w:cs="TH SarabunPSK"/>
          <w:sz w:val="28"/>
          <w:szCs w:val="28"/>
          <w:cs/>
        </w:rPr>
        <w:t>สาขาวิชารัฐประศาสนศาสตร์ คณะวิทยาการจัดการ มหาวิทยาลัยราชภัฏสกลนคร</w:t>
      </w:r>
    </w:p>
    <w:p w14:paraId="1DC5FEE6" w14:textId="4EC4D0DD" w:rsidR="00D54F7A" w:rsidRPr="002B1CD2" w:rsidRDefault="00335B90"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bookmarkStart w:id="1" w:name="_Hlk217642619"/>
      <w:r w:rsidRPr="002B1CD2">
        <w:rPr>
          <w:rFonts w:ascii="TH SarabunPSK" w:hAnsi="TH SarabunPSK" w:cs="TH SarabunPSK"/>
          <w:sz w:val="28"/>
          <w:szCs w:val="28"/>
          <w:cs/>
        </w:rPr>
        <w:t>*</w:t>
      </w:r>
      <w:r w:rsidRPr="002B1CD2">
        <w:rPr>
          <w:rFonts w:ascii="TH SarabunPSK" w:hAnsi="TH SarabunPSK" w:cs="TH SarabunPSK"/>
          <w:sz w:val="28"/>
          <w:szCs w:val="28"/>
        </w:rPr>
        <w:t xml:space="preserve">Corresponding author’s e-mail: </w:t>
      </w:r>
      <w:r w:rsidR="00A508A0" w:rsidRPr="002B1CD2">
        <w:rPr>
          <w:rFonts w:ascii="TH SarabunPSK" w:hAnsi="TH SarabunPSK" w:cs="TH SarabunPSK"/>
          <w:sz w:val="28"/>
          <w:szCs w:val="28"/>
        </w:rPr>
        <w:t>xrisaxamatmntri38@gmail.com</w:t>
      </w:r>
    </w:p>
    <w:bookmarkEnd w:id="1"/>
    <w:p w14:paraId="4FD08449"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tbl>
      <w:tblPr>
        <w:tblStyle w:val="21"/>
        <w:tblW w:w="936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6480"/>
      </w:tblGrid>
      <w:tr w:rsidR="00A5191E" w:rsidRPr="002B1CD2" w14:paraId="7C0179B8" w14:textId="77777777" w:rsidTr="004F113C">
        <w:tc>
          <w:tcPr>
            <w:tcW w:w="2610" w:type="dxa"/>
            <w:tcBorders>
              <w:bottom w:val="single" w:sz="4" w:space="0" w:color="auto"/>
            </w:tcBorders>
          </w:tcPr>
          <w:p w14:paraId="0D6FD058" w14:textId="77777777" w:rsidR="00D54F7A" w:rsidRPr="002B1CD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p>
          <w:p w14:paraId="1598820F" w14:textId="77777777" w:rsidR="00D54F7A" w:rsidRPr="002B1CD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2B1CD2">
              <w:rPr>
                <w:rFonts w:ascii="TH SarabunPSK" w:hAnsi="TH SarabunPSK" w:cs="TH SarabunPSK"/>
                <w:b/>
                <w:bCs/>
                <w:sz w:val="24"/>
                <w:szCs w:val="24"/>
                <w:cs/>
              </w:rPr>
              <w:t>ข้อมูลบทความ</w:t>
            </w:r>
          </w:p>
        </w:tc>
        <w:tc>
          <w:tcPr>
            <w:tcW w:w="270" w:type="dxa"/>
          </w:tcPr>
          <w:p w14:paraId="16C234DF"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tcBorders>
              <w:bottom w:val="single" w:sz="4" w:space="0" w:color="auto"/>
            </w:tcBorders>
          </w:tcPr>
          <w:p w14:paraId="33730410"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p w14:paraId="5E6FA45D"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cs/>
              </w:rPr>
            </w:pPr>
            <w:r w:rsidRPr="002B1CD2">
              <w:rPr>
                <w:rFonts w:ascii="TH SarabunPSK" w:hAnsi="TH SarabunPSK" w:cs="TH SarabunPSK"/>
                <w:b/>
                <w:bCs/>
                <w:sz w:val="24"/>
                <w:szCs w:val="24"/>
                <w:cs/>
              </w:rPr>
              <w:t>บทคัดย่อ</w:t>
            </w:r>
          </w:p>
        </w:tc>
      </w:tr>
      <w:tr w:rsidR="00A5191E" w:rsidRPr="002B1CD2" w14:paraId="1E4DCCAE" w14:textId="77777777" w:rsidTr="004F113C">
        <w:tc>
          <w:tcPr>
            <w:tcW w:w="2610" w:type="dxa"/>
            <w:tcBorders>
              <w:top w:val="single" w:sz="4" w:space="0" w:color="auto"/>
              <w:bottom w:val="single" w:sz="4" w:space="0" w:color="auto"/>
            </w:tcBorders>
          </w:tcPr>
          <w:p w14:paraId="1BC49F4F" w14:textId="7C74D9EE" w:rsidR="00184831" w:rsidRPr="002B1CD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2B1CD2">
              <w:rPr>
                <w:rFonts w:ascii="TH SarabunPSK" w:hAnsi="TH SarabunPSK" w:cs="TH SarabunPSK"/>
                <w:b/>
                <w:bCs/>
                <w:sz w:val="24"/>
                <w:szCs w:val="24"/>
                <w:cs/>
              </w:rPr>
              <w:t>ประวัติบทความ:</w:t>
            </w:r>
          </w:p>
          <w:p w14:paraId="10196D32" w14:textId="75461F33" w:rsidR="00F4490A" w:rsidRPr="002B1CD2" w:rsidRDefault="00F4490A" w:rsidP="00F4490A">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sz w:val="24"/>
                <w:szCs w:val="24"/>
              </w:rPr>
              <w:t>Received: Feb</w:t>
            </w:r>
            <w:r w:rsidR="009423E6" w:rsidRPr="002B1CD2">
              <w:rPr>
                <w:rFonts w:ascii="TH SarabunPSK" w:hAnsi="TH SarabunPSK" w:cs="TH SarabunPSK"/>
                <w:sz w:val="24"/>
                <w:szCs w:val="24"/>
              </w:rPr>
              <w:t>r</w:t>
            </w:r>
            <w:r w:rsidRPr="002B1CD2">
              <w:rPr>
                <w:rFonts w:ascii="TH SarabunPSK" w:hAnsi="TH SarabunPSK" w:cs="TH SarabunPSK"/>
                <w:sz w:val="24"/>
                <w:szCs w:val="24"/>
              </w:rPr>
              <w:t xml:space="preserve">uary </w:t>
            </w:r>
            <w:r w:rsidR="00A5191E" w:rsidRPr="002B1CD2">
              <w:rPr>
                <w:rFonts w:ascii="TH SarabunPSK" w:hAnsi="TH SarabunPSK" w:cs="TH SarabunPSK"/>
                <w:sz w:val="24"/>
                <w:szCs w:val="24"/>
              </w:rPr>
              <w:t>8</w:t>
            </w:r>
            <w:r w:rsidRPr="002B1CD2">
              <w:rPr>
                <w:rFonts w:ascii="TH SarabunPSK" w:hAnsi="TH SarabunPSK" w:cs="TH SarabunPSK"/>
                <w:sz w:val="24"/>
                <w:szCs w:val="24"/>
              </w:rPr>
              <w:t>, 2026</w:t>
            </w:r>
          </w:p>
          <w:p w14:paraId="3A7EDBA6" w14:textId="77777777" w:rsidR="00F4490A" w:rsidRPr="002B1CD2" w:rsidRDefault="00F4490A" w:rsidP="00F4490A">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sz w:val="24"/>
                <w:szCs w:val="24"/>
              </w:rPr>
              <w:t>Revised: August 30, 2026</w:t>
            </w:r>
          </w:p>
          <w:p w14:paraId="35061861" w14:textId="77777777" w:rsidR="00D54F7A" w:rsidRPr="002B1CD2" w:rsidRDefault="00F4490A" w:rsidP="00F4490A">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2B1CD2">
              <w:rPr>
                <w:rFonts w:ascii="TH SarabunPSK" w:hAnsi="TH SarabunPSK" w:cs="TH SarabunPSK"/>
                <w:sz w:val="24"/>
                <w:szCs w:val="24"/>
              </w:rPr>
              <w:t>Accepted: August 31, 2026</w:t>
            </w:r>
          </w:p>
          <w:p w14:paraId="11FF0397" w14:textId="2FBD49E5" w:rsidR="00A5191E" w:rsidRPr="002B1CD2" w:rsidRDefault="00A5191E" w:rsidP="00F4490A">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p>
        </w:tc>
        <w:tc>
          <w:tcPr>
            <w:tcW w:w="270" w:type="dxa"/>
          </w:tcPr>
          <w:p w14:paraId="7F39743F"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vMerge w:val="restart"/>
            <w:tcBorders>
              <w:top w:val="single" w:sz="4" w:space="0" w:color="auto"/>
              <w:bottom w:val="single" w:sz="4" w:space="0" w:color="auto"/>
            </w:tcBorders>
            <w:shd w:val="clear" w:color="auto" w:fill="F2F2F2" w:themeFill="background1" w:themeFillShade="F2"/>
          </w:tcPr>
          <w:p w14:paraId="5A2D7E29" w14:textId="37627FB0" w:rsidR="00D54F7A" w:rsidRPr="002B1CD2" w:rsidRDefault="004013E9" w:rsidP="002A382D">
            <w:pPr>
              <w:widowControl w:val="0"/>
              <w:tabs>
                <w:tab w:val="left" w:pos="720"/>
                <w:tab w:val="left" w:pos="1008"/>
                <w:tab w:val="left" w:pos="1296"/>
                <w:tab w:val="left" w:pos="1584"/>
                <w:tab w:val="left" w:pos="1872"/>
                <w:tab w:val="left" w:pos="2160"/>
              </w:tabs>
              <w:jc w:val="thaiDistribute"/>
              <w:rPr>
                <w:rFonts w:ascii="TH SarabunPSK" w:hAnsi="TH SarabunPSK" w:cs="TH SarabunPSK"/>
                <w:sz w:val="28"/>
                <w:szCs w:val="28"/>
              </w:rPr>
            </w:pPr>
            <w:r w:rsidRPr="002B1CD2">
              <w:rPr>
                <w:rFonts w:ascii="TH SarabunPSK" w:hAnsi="TH SarabunPSK" w:cs="TH SarabunPSK"/>
                <w:sz w:val="28"/>
                <w:szCs w:val="28"/>
                <w:cs/>
              </w:rPr>
              <w:t>ในปี พ.ศ. 2567 ประเทศไทยมีปริมาณของเสียอันตรายจากชุมชนเกิดขึ้น 685</w:t>
            </w:r>
            <w:r w:rsidRPr="002B1CD2">
              <w:rPr>
                <w:rFonts w:ascii="TH SarabunPSK" w:hAnsi="TH SarabunPSK" w:cs="TH SarabunPSK"/>
                <w:sz w:val="28"/>
                <w:szCs w:val="28"/>
              </w:rPr>
              <w:t>,</w:t>
            </w:r>
            <w:r w:rsidRPr="002B1CD2">
              <w:rPr>
                <w:rFonts w:ascii="TH SarabunPSK" w:hAnsi="TH SarabunPSK" w:cs="TH SarabunPSK"/>
                <w:sz w:val="28"/>
                <w:szCs w:val="28"/>
                <w:cs/>
              </w:rPr>
              <w:t>999 ตัน ในจำนวนนี้เป็นซากผลิตภัณฑ์เครื่องใช้ไฟฟ้าและอุปกรณ์อิเล็กทรอนิกส์ 445</w:t>
            </w:r>
            <w:r w:rsidRPr="002B1CD2">
              <w:rPr>
                <w:rFonts w:ascii="TH SarabunPSK" w:hAnsi="TH SarabunPSK" w:cs="TH SarabunPSK"/>
                <w:sz w:val="28"/>
                <w:szCs w:val="28"/>
              </w:rPr>
              <w:t>,</w:t>
            </w:r>
            <w:r w:rsidRPr="002B1CD2">
              <w:rPr>
                <w:rFonts w:ascii="TH SarabunPSK" w:hAnsi="TH SarabunPSK" w:cs="TH SarabunPSK"/>
                <w:sz w:val="28"/>
                <w:szCs w:val="28"/>
                <w:cs/>
              </w:rPr>
              <w:t>899 ตัน หรือประมาณร้อยละ 65 ปริมาณดังกล่าวคิดเป็นเพียงราวร้อยละสองจุดห้าของขยะมูลฝอยชุมชนที่เกิดขึ้นทั้งหมด 27.20 ล้านตันในปีเดียวกัน บทความวิชาการนี้เสนอข้อโต้แย้งว่า สัดส่วนที่น้อยนี้เองคือต้นตอของปัญหา เนื่องจากเป้าหมายระดับชาติ ที่แผนพัฒนาเศรษฐกิจและสังคมแห่งชาติ ฉบับที่ 13 กำหนดไว้ว่าอัตราการนำขยะกลับมาใช้ประโยชน์ต้องไม่ต่ำกว่า ร้อยละ 40 ภายในปี พ.ศ. 2570 เป็นเป้าหมายที่วัดด้วยน้ำหนัก ภายใต้ตัวชี้วัดเชิงน้ำหนัก การลงทุนกับของเสียอันตรายจากชุมชนแทบไม่ทำให้ตัวเลขผลงานดีขึ้น องค์กรปกครองส่วนท้องถิ่นที่ตัดสินใจอย่างมีเหตุผล จึงจัดลำดับความสำคัญของภารกิจนี้ไว้ท้ายสุด บทความระบุช่องว่างเชิงสถาบันสามประการที่เสริมแรงกัน ได้แก่ ช่องว่างด้านแรงจูงใจซึ่งเกิดจากตัวชี้วัดเชิงน้ำหนักเอง ช่องว่างด้านขนาดเพราะปริมาณที่เกิดขึ้นใน อปท. แต่ละแห่ง น้อยเกินกว่าจะคุ้มค่าต่อการลงทุนระบบเฉพาะ และช่องว่างด้านความรับผิดชอบปลายทางเพราะผู้ผลิตแบตเตอรี่ หลอดไฟ และเครื่องใช้ไฟฟ้าไม่มีพันธะตามกฎหมายในการรับคืนซากผลิตภัณฑ์ ผลการสำรวจองค์ประกอบขยะ ณ สถานที่กำจัดในปี พ.ศ. 2567 ยืนยันผลที่ตามมา คือของเสียอันตรายจากชุมชนและซากผลิตภัณฑ์อิเล็กทรอนิกส์ยังคงถูกทิ้งปะปนมากับขยะทั่วไป จนถึงสถานที่กำจัด บทความจึงเสนอ “โมเดล 3</w:t>
            </w:r>
            <w:r w:rsidRPr="002B1CD2">
              <w:rPr>
                <w:rFonts w:ascii="TH SarabunPSK" w:hAnsi="TH SarabunPSK" w:cs="TH SarabunPSK"/>
                <w:sz w:val="28"/>
                <w:szCs w:val="28"/>
              </w:rPr>
              <w:t xml:space="preserve">S” </w:t>
            </w:r>
            <w:r w:rsidRPr="002B1CD2">
              <w:rPr>
                <w:rFonts w:ascii="TH SarabunPSK" w:hAnsi="TH SarabunPSK" w:cs="TH SarabunPSK"/>
                <w:sz w:val="28"/>
                <w:szCs w:val="28"/>
                <w:cs/>
              </w:rPr>
              <w:t>อันประกอบด้วยการคัดแยกที่ต้นทาง การสร้างขนาดด้วยการรวมกลุ่ม ระดับจังหวัด และการโอนความรับผิดชอบกลับไปยังต้นทางด้วยหลักการขยายความรับผิดชอบของผู้ผลิต พร้อมข้อเสนอให้ใช้ตัวชี้วัดถ่วงน้ำหนักด้วยความเสี่ยงแทนตัวชี้วัดเชิงน้ำหนักสำหรับขยะกระแสนี้</w:t>
            </w:r>
          </w:p>
        </w:tc>
      </w:tr>
      <w:tr w:rsidR="00A5191E" w:rsidRPr="002B1CD2" w14:paraId="7C12BD4B" w14:textId="77777777" w:rsidTr="004F113C">
        <w:tc>
          <w:tcPr>
            <w:tcW w:w="2610" w:type="dxa"/>
            <w:tcBorders>
              <w:top w:val="single" w:sz="4" w:space="0" w:color="auto"/>
              <w:bottom w:val="single" w:sz="4" w:space="0" w:color="auto"/>
            </w:tcBorders>
          </w:tcPr>
          <w:p w14:paraId="1E55C7B9" w14:textId="77777777" w:rsidR="00A5191E" w:rsidRPr="002B1CD2" w:rsidRDefault="00A5191E"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p>
          <w:p w14:paraId="32DFA305" w14:textId="487DD4B4" w:rsidR="00A5191E" w:rsidRPr="002B1CD2" w:rsidRDefault="00D54F7A"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b/>
                <w:bCs/>
                <w:sz w:val="24"/>
                <w:szCs w:val="24"/>
                <w:cs/>
              </w:rPr>
              <w:t>คำสำคัญ:</w:t>
            </w:r>
            <w:r w:rsidRPr="002B1CD2">
              <w:rPr>
                <w:rFonts w:ascii="TH SarabunPSK" w:hAnsi="TH SarabunPSK" w:cs="TH SarabunPSK" w:hint="cs"/>
                <w:b/>
                <w:bCs/>
                <w:sz w:val="24"/>
                <w:szCs w:val="24"/>
                <w:cs/>
              </w:rPr>
              <w:t xml:space="preserve"> </w:t>
            </w:r>
          </w:p>
          <w:p w14:paraId="183679D5" w14:textId="77777777" w:rsidR="00A5191E" w:rsidRPr="002B1CD2" w:rsidRDefault="004013E9"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sz w:val="24"/>
                <w:szCs w:val="24"/>
                <w:cs/>
              </w:rPr>
              <w:t>ของเสียอันตรายจากชุมชน</w:t>
            </w:r>
            <w:r w:rsidRPr="002B1CD2">
              <w:rPr>
                <w:rFonts w:ascii="TH SarabunPSK" w:hAnsi="TH SarabunPSK" w:cs="TH SarabunPSK"/>
                <w:sz w:val="24"/>
                <w:szCs w:val="24"/>
              </w:rPr>
              <w:t>,</w:t>
            </w:r>
          </w:p>
          <w:p w14:paraId="1ED39D7C" w14:textId="77777777" w:rsidR="00A5191E" w:rsidRPr="002B1CD2" w:rsidRDefault="004013E9"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sz w:val="24"/>
                <w:szCs w:val="24"/>
              </w:rPr>
              <w:t xml:space="preserve"> </w:t>
            </w:r>
            <w:r w:rsidRPr="002B1CD2">
              <w:rPr>
                <w:rFonts w:ascii="TH SarabunPSK" w:hAnsi="TH SarabunPSK" w:cs="TH SarabunPSK"/>
                <w:sz w:val="24"/>
                <w:szCs w:val="24"/>
                <w:cs/>
              </w:rPr>
              <w:t>ซากผลิตภัณฑ์อิเล็กทรอนิกส์</w:t>
            </w:r>
            <w:r w:rsidRPr="002B1CD2">
              <w:rPr>
                <w:rFonts w:ascii="TH SarabunPSK" w:hAnsi="TH SarabunPSK" w:cs="TH SarabunPSK"/>
                <w:sz w:val="24"/>
                <w:szCs w:val="24"/>
              </w:rPr>
              <w:t xml:space="preserve">, </w:t>
            </w:r>
          </w:p>
          <w:p w14:paraId="30F49D09" w14:textId="77777777" w:rsidR="00A5191E" w:rsidRPr="002B1CD2" w:rsidRDefault="004013E9"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2B1CD2">
              <w:rPr>
                <w:rFonts w:ascii="TH SarabunPSK" w:hAnsi="TH SarabunPSK" w:cs="TH SarabunPSK"/>
                <w:sz w:val="24"/>
                <w:szCs w:val="24"/>
                <w:cs/>
              </w:rPr>
              <w:t>องค์กรปกครองส่วนท้องถิ่น</w:t>
            </w:r>
            <w:r w:rsidRPr="002B1CD2">
              <w:rPr>
                <w:rFonts w:ascii="TH SarabunPSK" w:hAnsi="TH SarabunPSK" w:cs="TH SarabunPSK"/>
                <w:sz w:val="24"/>
                <w:szCs w:val="24"/>
              </w:rPr>
              <w:t xml:space="preserve">, </w:t>
            </w:r>
          </w:p>
          <w:p w14:paraId="29B1E443" w14:textId="374D70FE" w:rsidR="00D54F7A" w:rsidRPr="002B1CD2" w:rsidRDefault="004013E9"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2B1CD2">
              <w:rPr>
                <w:rFonts w:ascii="TH SarabunPSK" w:hAnsi="TH SarabunPSK" w:cs="TH SarabunPSK"/>
                <w:sz w:val="24"/>
                <w:szCs w:val="24"/>
                <w:cs/>
              </w:rPr>
              <w:t>การขยายความรับผิดชอบของผู้ผลิต</w:t>
            </w:r>
            <w:r w:rsidRPr="002B1CD2">
              <w:rPr>
                <w:rFonts w:ascii="TH SarabunPSK" w:hAnsi="TH SarabunPSK" w:cs="TH SarabunPSK"/>
                <w:sz w:val="24"/>
                <w:szCs w:val="24"/>
              </w:rPr>
              <w:t xml:space="preserve">, </w:t>
            </w:r>
            <w:r w:rsidRPr="002B1CD2">
              <w:rPr>
                <w:rFonts w:ascii="TH SarabunPSK" w:hAnsi="TH SarabunPSK" w:cs="TH SarabunPSK"/>
                <w:sz w:val="24"/>
                <w:szCs w:val="24"/>
                <w:cs/>
              </w:rPr>
              <w:t>ตัวชี้วัดผลการดำเนินงาน</w:t>
            </w:r>
          </w:p>
        </w:tc>
        <w:tc>
          <w:tcPr>
            <w:tcW w:w="270" w:type="dxa"/>
          </w:tcPr>
          <w:p w14:paraId="288EA8E5"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vMerge/>
            <w:tcBorders>
              <w:top w:val="nil"/>
              <w:bottom w:val="single" w:sz="4" w:space="0" w:color="auto"/>
            </w:tcBorders>
            <w:shd w:val="clear" w:color="auto" w:fill="F2F2F2" w:themeFill="background1" w:themeFillShade="F2"/>
          </w:tcPr>
          <w:p w14:paraId="03F228C5" w14:textId="77777777" w:rsidR="00D54F7A" w:rsidRPr="002B1CD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r>
    </w:tbl>
    <w:p w14:paraId="520E19AB" w14:textId="77777777" w:rsidR="00935800" w:rsidRPr="002B1CD2" w:rsidRDefault="00935800"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2B54BD48" w14:textId="77777777" w:rsidR="00935800" w:rsidRPr="002B1CD2" w:rsidRDefault="00935800"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0BB2923A" w14:textId="77777777" w:rsidR="00577FBE" w:rsidRPr="002B1CD2" w:rsidRDefault="00577FBE"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10595292" w14:textId="77777777" w:rsidR="00577FBE" w:rsidRPr="002B1CD2" w:rsidRDefault="00577FBE"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0A574442" w14:textId="163128B3" w:rsidR="00611A06" w:rsidRPr="002B1CD2" w:rsidRDefault="00611A06"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r w:rsidRPr="002B1CD2">
        <w:rPr>
          <w:rFonts w:ascii="TH SarabunPSK" w:hAnsi="TH SarabunPSK" w:cs="TH SarabunPSK" w:hint="cs"/>
          <w:b/>
          <w:bCs/>
          <w:sz w:val="28"/>
          <w:szCs w:val="28"/>
          <w:cs/>
        </w:rPr>
        <w:lastRenderedPageBreak/>
        <w:t>บทนำ</w:t>
      </w:r>
    </w:p>
    <w:p w14:paraId="42DCD56D" w14:textId="77777777" w:rsidR="004013E9" w:rsidRPr="002B1CD2" w:rsidRDefault="00413DC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004013E9" w:rsidRPr="002B1CD2">
        <w:rPr>
          <w:rFonts w:ascii="TH SarabunPSK" w:hAnsi="TH SarabunPSK" w:cs="TH SarabunPSK"/>
          <w:sz w:val="28"/>
          <w:szCs w:val="28"/>
          <w:cs/>
        </w:rPr>
        <w:t>การจัดการขยะมูลฝอยเป็นภารกิจตามกฎหมายขององค์กรปกครองส่วนท้องถิ่น (อปท.) ตามพระราชบัญญัติรักษาความสะอาด และความเป็นระเบียบเรียบร้อยของบ้านเมือง (ฉบับที่ 2) พ.ศ. 2560 ซึ่งกำหนดให้ อปท. มีอำนาจหน้าที่ในการเก็บ ขน และกำจัดมูลฝอยในเขตพื้นที่ ในระดับนโยบาย แผนพัฒนาเศรษฐกิจและสังคมแห่งชาติ ฉบับที่ 13 พ.ศ. 2566-2570 กำหนดตัวชี้วัดอัตราการนำขยะกลับมาใช้ประโยชน์ไม่ต่ำกว่าร้อยละ 40 ภายในปี พ.ศ. 2570 (สำนักงานสภาพัฒนาการเศรษฐกิจและสังคมแห่งชาติ</w:t>
      </w:r>
      <w:r w:rsidR="004013E9" w:rsidRPr="002B1CD2">
        <w:rPr>
          <w:rFonts w:ascii="TH SarabunPSK" w:hAnsi="TH SarabunPSK" w:cs="TH SarabunPSK"/>
          <w:sz w:val="28"/>
          <w:szCs w:val="28"/>
        </w:rPr>
        <w:t xml:space="preserve">, </w:t>
      </w:r>
      <w:r w:rsidR="004013E9" w:rsidRPr="002B1CD2">
        <w:rPr>
          <w:rFonts w:ascii="TH SarabunPSK" w:hAnsi="TH SarabunPSK" w:cs="TH SarabunPSK"/>
          <w:sz w:val="28"/>
          <w:szCs w:val="28"/>
          <w:cs/>
        </w:rPr>
        <w:t>2565) วรรณกรรมและการถอดบทเรียนในบริบทไทยส่วนใหญ่ จึงมุ่งความสนใจไปที่ขยะมูลฝอยทั่วไป โดยเฉพาะขยะอินทรีย์และขยะรีไซเคิลซึ่งมีปริมาณมากและเห็นผลได้เร็ว</w:t>
      </w:r>
    </w:p>
    <w:p w14:paraId="2CF48054" w14:textId="588623D6"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 xml:space="preserve">บทความวิชาการนี้เสนอให้หันมาพิจารณาขยะอีกกระแสหนึ่งที่ถูกกล่าวถึงน้อยกว่ามาก คือของเสียอันตรายจากชุมชน ซึ่งหมายถึงวัสดุหรือผลิตภัณฑ์ที่ไม่ใช้แล้วและมีองค์ประกอบที่เป็นพิษ ไวไฟ กัดกร่อน หรือก่อให้เกิดอันตราย เช่น ถ่านไฟฉาย หลอดฟลูออเรสเซนต์ แบตเตอรี่ ภาชนะบรรจุสารเคมี กระป๋องสเปรย์ และซากผลิตภัณฑ์เครื่องใช้ไฟฟ้า </w:t>
      </w:r>
      <w:r w:rsidRPr="002B1CD2">
        <w:rPr>
          <w:rFonts w:ascii="TH SarabunPSK" w:hAnsi="TH SarabunPSK" w:cs="TH SarabunPSK"/>
          <w:sz w:val="28"/>
          <w:szCs w:val="28"/>
        </w:rPr>
        <w:t xml:space="preserve">       </w:t>
      </w:r>
      <w:r w:rsidRPr="002B1CD2">
        <w:rPr>
          <w:rFonts w:ascii="TH SarabunPSK" w:hAnsi="TH SarabunPSK" w:cs="TH SarabunPSK"/>
          <w:sz w:val="28"/>
          <w:szCs w:val="28"/>
          <w:cs/>
        </w:rPr>
        <w:t>และอุปกรณ์อิเล็กทรอนิกส์ ในปี พ.ศ. 2567 ประเทศไทยมีปริมาณของเสียอันตรายจากชุมชนเกิดขึ้น 685,999 ตัน เพิ่มขึ้นจากปี พ.ศ. 2566 ซึ่งมีปริมาณ 680,386 ตัน คิดเป็นร้อยละ 0.8 โดยส่วนใหญ่เป็นซากผลิตภัณฑ์เครื่องใช้ไฟฟ้า และอุปกรณ์อิเล็กทรอนิกส์ จำนวน 445,899 ตัน หรือประมาณร้อยละ 65 (กรมควบคุมมลพิษ</w:t>
      </w:r>
      <w:r w:rsidRPr="002B1CD2">
        <w:rPr>
          <w:rFonts w:ascii="TH SarabunPSK" w:hAnsi="TH SarabunPSK" w:cs="TH SarabunPSK"/>
          <w:sz w:val="28"/>
          <w:szCs w:val="28"/>
        </w:rPr>
        <w:t xml:space="preserve">, </w:t>
      </w:r>
      <w:r w:rsidRPr="002B1CD2">
        <w:rPr>
          <w:rFonts w:ascii="TH SarabunPSK" w:hAnsi="TH SarabunPSK" w:cs="TH SarabunPSK"/>
          <w:sz w:val="28"/>
          <w:szCs w:val="28"/>
          <w:cs/>
        </w:rPr>
        <w:t>2568)</w:t>
      </w:r>
    </w:p>
    <w:p w14:paraId="3AEBE62A" w14:textId="773CF666"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 xml:space="preserve">เมื่อเทียบกับปริมาณขยะมูลฝอยชุมชนทั้งหมด 27.20 ล้านตันในปีเดียวกัน ของเสียอันตรายจากชุมชนคิดเป็นสัดส่วน เพียงราวร้อยละสองจุดห้าเท่านั้น ข้อโต้แย้งหลักของบทความนี้คือ สัดส่วนที่น้อยนี้มิใช่เหตุผลที่จะละเลย หากแต่เป็นต้นตอของปัญหาโดยตรง เพราะเมื่อเป้าหมายระดับชาติถูกกำหนดในหน่วยน้ำหนัก การลงทุนกับขยะกระแสที่มีน้ำหนักน้อยย่อมไม่ทำให้ตัวเลขผลงานของหน่วยงานดีขึ้นอย่างมีนัยสำคัญ อปท. ที่ตัดสินใจอย่างมีเหตุผลภายใต้ทรัพยากรจำกัดจึงจัดลำดับความสำคัญของภารกิจนี้ไว้ท้ายสุด ปัญหาของเสียอันตรายจากชุมชนจึงมิใช่ปัญหาของความไม่รู้หรือความไม่ใส่ใจ </w:t>
      </w:r>
      <w:r w:rsidRPr="002B1CD2">
        <w:rPr>
          <w:rFonts w:ascii="TH SarabunPSK" w:hAnsi="TH SarabunPSK" w:cs="TH SarabunPSK"/>
          <w:sz w:val="28"/>
          <w:szCs w:val="28"/>
        </w:rPr>
        <w:t xml:space="preserve"> </w:t>
      </w:r>
      <w:r w:rsidRPr="002B1CD2">
        <w:rPr>
          <w:rFonts w:ascii="TH SarabunPSK" w:hAnsi="TH SarabunPSK" w:cs="TH SarabunPSK"/>
          <w:sz w:val="28"/>
          <w:szCs w:val="28"/>
          <w:cs/>
        </w:rPr>
        <w:t>แต่เป็นผลที่พยากรณ์ได้ ของโครงสร้างแรงจูงใจที่ระบบเองสร้างขึ้น</w:t>
      </w:r>
    </w:p>
    <w:p w14:paraId="06E9B653" w14:textId="686CAEBD"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หลักฐานที่สนับสนุนข้อโต้แย้งนี้ปรากฏชัดในผลการสำรวจองค์ประกอบขยะมูลฝอย ณ สถานที่กำจัดขยะมูลฝอยในปี พ.ศ. 2567 ซึ่งพบว่าของเสียอันตรายจากชุมชนและซากผลิตภัณฑ์เครื่องใช้ไฟฟ้าและอุปกรณ์อิเล็กทรอนิกส์ยังคงถูกทิ้งปะปน มากับขยะทั่วไปจนถึงสถานที่กำจัด (กรมควบคุมมลพิษ</w:t>
      </w:r>
      <w:r w:rsidRPr="002B1CD2">
        <w:rPr>
          <w:rFonts w:ascii="TH SarabunPSK" w:hAnsi="TH SarabunPSK" w:cs="TH SarabunPSK"/>
          <w:sz w:val="28"/>
          <w:szCs w:val="28"/>
        </w:rPr>
        <w:t xml:space="preserve">, </w:t>
      </w:r>
      <w:r w:rsidRPr="002B1CD2">
        <w:rPr>
          <w:rFonts w:ascii="TH SarabunPSK" w:hAnsi="TH SarabunPSK" w:cs="TH SarabunPSK"/>
          <w:sz w:val="28"/>
          <w:szCs w:val="28"/>
          <w:cs/>
        </w:rPr>
        <w:t>2568) กล่าวอีกนัยหนึ่ง ระบบคัดแยกที่ต้นทางซึ่งถูกรณรงค์ มาอย่างต่อเนื่องยังไม่สามารถดักจับขยะกระแสนี้ออกจากสายธารขยะทั่วไปได้</w:t>
      </w:r>
    </w:p>
    <w:p w14:paraId="4F043231" w14:textId="5688C616"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บทความนี้มีวัตถุประสงค์ 4 ประการ ได้แก่</w:t>
      </w:r>
    </w:p>
    <w:p w14:paraId="6F0669CC" w14:textId="5F56D3A5" w:rsidR="004013E9" w:rsidRPr="002B1CD2" w:rsidRDefault="004013E9" w:rsidP="004013E9">
      <w:pPr>
        <w:tabs>
          <w:tab w:val="left" w:pos="720"/>
        </w:tabs>
        <w:jc w:val="thaiDistribute"/>
        <w:rPr>
          <w:rFonts w:ascii="TH SarabunPSK" w:hAnsi="TH SarabunPSK" w:cs="TH SarabunPSK"/>
          <w:spacing w:val="-6"/>
          <w:sz w:val="28"/>
          <w:szCs w:val="28"/>
        </w:rPr>
      </w:pPr>
      <w:r w:rsidRPr="002B1CD2">
        <w:rPr>
          <w:rFonts w:ascii="TH SarabunPSK" w:hAnsi="TH SarabunPSK" w:cs="TH SarabunPSK"/>
          <w:sz w:val="28"/>
          <w:szCs w:val="28"/>
        </w:rPr>
        <w:tab/>
      </w:r>
      <w:r w:rsidRPr="002B1CD2">
        <w:rPr>
          <w:rFonts w:ascii="TH SarabunPSK" w:hAnsi="TH SarabunPSK" w:cs="TH SarabunPSK"/>
          <w:spacing w:val="-6"/>
          <w:sz w:val="28"/>
          <w:szCs w:val="28"/>
          <w:cs/>
        </w:rPr>
        <w:t>(1) เพื่อวิเคราะห์คุณลักษณะเฉพาะของของเสียอันตรายจากชุมชนที่ทำให้ไม่สามารถใช้แนวทางเดียวกับขยะทั่วไปได้</w:t>
      </w:r>
    </w:p>
    <w:p w14:paraId="6415BBCE" w14:textId="2651BC75"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(2) เพื่อระบุช่องว่างเชิงสถาบันที่ทำให้ขยะกระแสนี้ถูกจัดลำดับความสำคัญไว้ท้ายสุดอย่างเป็นระบบ</w:t>
      </w:r>
    </w:p>
    <w:p w14:paraId="30D2C20D" w14:textId="133F22F1"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(3) เพื่อเสนอแนวทางเชิงนโยบายที่สอดคล้องกับข้อจำกัดด้านทรัพยากรของ อปท. ขนาดเล็ก</w:t>
      </w:r>
    </w:p>
    <w:p w14:paraId="206B3C00" w14:textId="191FF39A" w:rsidR="004013E9"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(4) เพื่อพัฒนาโมเดลและข้อเสนอเรื่องตัวชี้วัดที่เหมาะสมกับขยะที่มีปริมาณน้อยแต่ความเสี่ยงสูง</w:t>
      </w:r>
    </w:p>
    <w:p w14:paraId="347EA735" w14:textId="026BA09A" w:rsidR="007B3946" w:rsidRPr="002B1CD2" w:rsidRDefault="004013E9" w:rsidP="004013E9">
      <w:pPr>
        <w:tabs>
          <w:tab w:val="left" w:pos="720"/>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ในเชิงระเบียบวิธี บทความใช้การวิเคราะห์เอกสารจากรายงานสถานการณ์และคู่มือปฏิบัติงานของหน่วยงานภาครัฐ เอกสารนโยบายและกฎหมาย และบทความวิชาการที่ผ่านการประเมินโดยผู้ทรงคุณวุฒิ โดยให้น้ำหนักกับงานที่เผยแพร่ ระหว่างปี พ.ศ. 2564-2568 เป็นหลัก และใช้วิธีวิเคราะห์โครงสร้างแรงจูงใจเพื่ออธิบายพฤติกรรมของหน่วยปฏิบัติ</w:t>
      </w:r>
    </w:p>
    <w:p w14:paraId="38209BFA" w14:textId="77777777" w:rsidR="004013E9" w:rsidRPr="002B1CD2" w:rsidRDefault="004013E9" w:rsidP="004013E9">
      <w:pPr>
        <w:tabs>
          <w:tab w:val="left" w:pos="720"/>
        </w:tabs>
        <w:jc w:val="thaiDistribute"/>
        <w:rPr>
          <w:rFonts w:ascii="TH SarabunPSK" w:hAnsi="TH SarabunPSK" w:cs="TH SarabunPSK"/>
          <w:sz w:val="28"/>
          <w:szCs w:val="28"/>
        </w:rPr>
      </w:pPr>
    </w:p>
    <w:p w14:paraId="708351B7" w14:textId="77777777"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cs/>
        </w:rPr>
        <w:t>คุณลักษณะเฉพาะของของเสียอันตรายจากชุมชนและเหตุผลที่แนวทางเดิมใช้ไม่ได้</w:t>
      </w:r>
    </w:p>
    <w:p w14:paraId="2957C469" w14:textId="78E2D542" w:rsidR="00581470" w:rsidRPr="002B1CD2" w:rsidRDefault="004013E9" w:rsidP="004013E9">
      <w:pPr>
        <w:tabs>
          <w:tab w:val="left" w:pos="720"/>
          <w:tab w:val="left" w:pos="1009"/>
        </w:tabs>
        <w:ind w:firstLine="720"/>
        <w:jc w:val="thaiDistribute"/>
        <w:rPr>
          <w:rFonts w:ascii="TH SarabunPSK" w:hAnsi="TH SarabunPSK" w:cs="TH SarabunPSK"/>
          <w:b/>
          <w:bCs/>
          <w:sz w:val="28"/>
          <w:szCs w:val="28"/>
        </w:rPr>
      </w:pPr>
      <w:r w:rsidRPr="002B1CD2">
        <w:rPr>
          <w:rFonts w:ascii="TH SarabunPSK" w:hAnsi="TH SarabunPSK" w:cs="TH SarabunPSK"/>
          <w:b/>
          <w:bCs/>
          <w:sz w:val="28"/>
          <w:szCs w:val="28"/>
          <w:cs/>
        </w:rPr>
        <w:t>1. ปริมาณน้อยแต่ความเสี่ยงสูง</w:t>
      </w:r>
    </w:p>
    <w:p w14:paraId="04850EFC" w14:textId="77777777" w:rsidR="004013E9" w:rsidRPr="002B1CD2" w:rsidRDefault="00581470"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004013E9" w:rsidRPr="002B1CD2">
        <w:rPr>
          <w:rFonts w:ascii="TH SarabunPSK" w:hAnsi="TH SarabunPSK" w:cs="TH SarabunPSK"/>
          <w:sz w:val="28"/>
          <w:szCs w:val="28"/>
          <w:cs/>
        </w:rPr>
        <w:t>คุณลักษณะที่กำหนดทุกอย่างของขยะกระแสนี้คือความไม่สอดคล้องกันระหว่างปริมาณกับความเสี่ยง ของเสียอันตรายจากชุมชนมีสัดส่วนเพียงราวร้อยละสองจุดห้าของขยะมูลฝอยทั้งหมด แต่มีองค์ประกอบเป็นโลหะหนัก และสารเคมีที่</w:t>
      </w:r>
      <w:r w:rsidR="004013E9" w:rsidRPr="002B1CD2">
        <w:rPr>
          <w:rFonts w:ascii="TH SarabunPSK" w:hAnsi="TH SarabunPSK" w:cs="TH SarabunPSK"/>
          <w:sz w:val="28"/>
          <w:szCs w:val="28"/>
          <w:cs/>
        </w:rPr>
        <w:lastRenderedPageBreak/>
        <w:t>ไม่ย่อยสลายและสะสมในดินและแหล่งน้ำได้ในระยะยาว ความไม่สอดคล้องนี้ทำให้เครื่องมือเชิงนโยบาย ที่ออกแบบมาสำหรับขยะทั่วไป ซึ่งวัดความสำเร็จด้วยปริมาณที่ลดลงหรือปริมาณที่นำกลับมาใช้ประโยชน์ได้ ไม่สามารถสะท้อนคุณค่าของการจัดการขยะกระแสนี้ได้เลย</w:t>
      </w:r>
    </w:p>
    <w:p w14:paraId="7F9C8647" w14:textId="066391B8"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2. องค์ประกอบที่เปลี่ยนไปตามรูปแบบการบริโภค</w:t>
      </w:r>
    </w:p>
    <w:p w14:paraId="32D83C7E" w14:textId="0D60932E" w:rsidR="004013E9"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ข้อเท็จจริงที่ว่าซากผลิตภัณฑ์เครื่องใช้ไฟฟ้าและอุปกรณ์อิเล็กทรอนิกส์คิดเป็นราวร้อยละ 65 ของของเสียอันตราย จากชุมชนทั้งหมด (กรมควบคุมมลพิษ</w:t>
      </w:r>
      <w:r w:rsidRPr="002B1CD2">
        <w:rPr>
          <w:rFonts w:ascii="TH SarabunPSK" w:hAnsi="TH SarabunPSK" w:cs="TH SarabunPSK"/>
          <w:sz w:val="28"/>
          <w:szCs w:val="28"/>
        </w:rPr>
        <w:t xml:space="preserve">, </w:t>
      </w:r>
      <w:r w:rsidRPr="002B1CD2">
        <w:rPr>
          <w:rFonts w:ascii="TH SarabunPSK" w:hAnsi="TH SarabunPSK" w:cs="TH SarabunPSK"/>
          <w:sz w:val="28"/>
          <w:szCs w:val="28"/>
          <w:cs/>
        </w:rPr>
        <w:t>2568) มีนัยเชิงนโยบายที่สำคัญสองประการ ประการแรก องค์ประกอบของขยะกระแสนี้ถูกกำหนดโดยวงจรอายุของสินค้าอิเล็กทรอนิกส์ ซึ่งเป็นตัวแปรที่ อปท. ไม่มีอำนาจควบคุมเลย และมีแนวโน้มสั้นลงตามรูปแบบการบริโภคสมัยใหม่ ประการที่สอง ซากผลิตภัณฑ์เหล่านี้มีมูลค่าทางเศรษฐกิจในตัว จากโลหะมีค่าที่แยกได้ จึงมีตลาดนอกระบบรับซื้ออยู่แล้ว แต่กระบวนการแยกชิ้นส่วนนอกระบบมักไม่มีมาตรการควบคุมมลพิษ ทำให้เกิดการปนเปื้อนในชุมชนผู้ประกอบการรายย่อยเอง</w:t>
      </w:r>
    </w:p>
    <w:p w14:paraId="2C957A6D" w14:textId="21B34AE1"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3. ข้อจำกัดของแนวทางรณรงค์ที่ใช้กับขยะทั่วไป</w:t>
      </w:r>
    </w:p>
    <w:p w14:paraId="7D867A77" w14:textId="4A05881B" w:rsidR="004013E9"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แนวทางที่ได้ผลกับขยะทั่วไป เช่น หลักการ 3</w:t>
      </w:r>
      <w:r w:rsidRPr="002B1CD2">
        <w:rPr>
          <w:rFonts w:ascii="TH SarabunPSK" w:hAnsi="TH SarabunPSK" w:cs="TH SarabunPSK"/>
          <w:sz w:val="28"/>
          <w:szCs w:val="28"/>
        </w:rPr>
        <w:t xml:space="preserve">R </w:t>
      </w:r>
      <w:r w:rsidRPr="002B1CD2">
        <w:rPr>
          <w:rFonts w:ascii="TH SarabunPSK" w:hAnsi="TH SarabunPSK" w:cs="TH SarabunPSK"/>
          <w:sz w:val="28"/>
          <w:szCs w:val="28"/>
          <w:cs/>
        </w:rPr>
        <w:t>การจัดตั้งธนาคารขยะ และการคัดแยกที่ครัวเรือน อาศัยเงื่อนไขสองประการที่ขยะกระแสนี้ไม่มี เงื่อนไขแรกคือความถี่ ครัวเรือนทิ้งเศษอาหารและบรรจุภัณฑ์ทุกวัน จึงเกิดพฤติกรรมเป็นนิสัยได้ ขณะที่ครัวเรือนทิ้งหลอดไฟหรือแบตเตอรี่ปีละไม่กี่ครั้ง จึงยากที่จะสร้างเป็นกิจวัตร เงื่อนไขที่สองคือแรงจูงใจทางเศรษฐกิจ ขยะรีไซเคิลขายได้ในทันที ทำให้ธนาคารขยะมีกลไกหล่อเลี้ยงตนเอง แต่การส่งมอบของเสียอันตรายไม่ก่อรายได้ให้ครัวเรือน จึงต้องอาศัยแรงจูงใจอื่นหรือความสะดวกที่ออกแบบมาโดยเฉพาะ การถอดบทเรียนชุมชนต้นแบบที่ประสบความสำเร็จในไทยส่วนใหญ่จึงเป็นความสำเร็จกับขยะอินทรีย์และขยะรีไซเคิลเป็นหลัก (ญาสุมินทร์ รักไธสง และปานปั้น รองหานาม</w:t>
      </w:r>
      <w:r w:rsidRPr="002B1CD2">
        <w:rPr>
          <w:rFonts w:ascii="TH SarabunPSK" w:hAnsi="TH SarabunPSK" w:cs="TH SarabunPSK"/>
          <w:sz w:val="28"/>
          <w:szCs w:val="28"/>
        </w:rPr>
        <w:t xml:space="preserve">, </w:t>
      </w:r>
      <w:r w:rsidRPr="002B1CD2">
        <w:rPr>
          <w:rFonts w:ascii="TH SarabunPSK" w:hAnsi="TH SarabunPSK" w:cs="TH SarabunPSK"/>
          <w:sz w:val="28"/>
          <w:szCs w:val="28"/>
          <w:cs/>
        </w:rPr>
        <w:t>2568</w:t>
      </w:r>
      <w:r w:rsidRPr="002B1CD2">
        <w:rPr>
          <w:rFonts w:ascii="TH SarabunPSK" w:hAnsi="TH SarabunPSK" w:cs="TH SarabunPSK"/>
          <w:sz w:val="28"/>
          <w:szCs w:val="28"/>
        </w:rPr>
        <w:t xml:space="preserve">; </w:t>
      </w:r>
      <w:r w:rsidRPr="002B1CD2">
        <w:rPr>
          <w:rFonts w:ascii="TH SarabunPSK" w:hAnsi="TH SarabunPSK" w:cs="TH SarabunPSK"/>
          <w:sz w:val="28"/>
          <w:szCs w:val="28"/>
          <w:cs/>
        </w:rPr>
        <w:t>รัษฎากร วินิจกุล</w:t>
      </w:r>
      <w:r w:rsidRPr="002B1CD2">
        <w:rPr>
          <w:rFonts w:ascii="TH SarabunPSK" w:hAnsi="TH SarabunPSK" w:cs="TH SarabunPSK"/>
          <w:sz w:val="28"/>
          <w:szCs w:val="28"/>
        </w:rPr>
        <w:t xml:space="preserve">, </w:t>
      </w:r>
      <w:r w:rsidRPr="002B1CD2">
        <w:rPr>
          <w:rFonts w:ascii="TH SarabunPSK" w:hAnsi="TH SarabunPSK" w:cs="TH SarabunPSK"/>
          <w:sz w:val="28"/>
          <w:szCs w:val="28"/>
          <w:cs/>
        </w:rPr>
        <w:t>ปรียานุช พรหมภาสิต</w:t>
      </w:r>
      <w:r w:rsidRPr="002B1CD2">
        <w:rPr>
          <w:rFonts w:ascii="TH SarabunPSK" w:hAnsi="TH SarabunPSK" w:cs="TH SarabunPSK"/>
          <w:sz w:val="28"/>
          <w:szCs w:val="28"/>
        </w:rPr>
        <w:t xml:space="preserve">, </w:t>
      </w:r>
      <w:r w:rsidRPr="002B1CD2">
        <w:rPr>
          <w:rFonts w:ascii="TH SarabunPSK" w:hAnsi="TH SarabunPSK" w:cs="TH SarabunPSK"/>
          <w:sz w:val="28"/>
          <w:szCs w:val="28"/>
          <w:cs/>
        </w:rPr>
        <w:t>พิษณุ บุญนิยม และณัฐนันท์ ทองทรัพย์</w:t>
      </w:r>
      <w:r w:rsidRPr="002B1CD2">
        <w:rPr>
          <w:rFonts w:ascii="TH SarabunPSK" w:hAnsi="TH SarabunPSK" w:cs="TH SarabunPSK"/>
          <w:sz w:val="28"/>
          <w:szCs w:val="28"/>
        </w:rPr>
        <w:t xml:space="preserve">, </w:t>
      </w:r>
      <w:r w:rsidRPr="002B1CD2">
        <w:rPr>
          <w:rFonts w:ascii="TH SarabunPSK" w:hAnsi="TH SarabunPSK" w:cs="TH SarabunPSK"/>
          <w:sz w:val="28"/>
          <w:szCs w:val="28"/>
          <w:cs/>
        </w:rPr>
        <w:t>2567)</w:t>
      </w:r>
    </w:p>
    <w:p w14:paraId="2B152363" w14:textId="2E18554B"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สรุปหัวข้อที่ 1</w:t>
      </w:r>
    </w:p>
    <w:p w14:paraId="15416841" w14:textId="4438A2E4" w:rsidR="00581470"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ของเสียอันตรายจากชุมชนมีคุณลักษณะสามประการที่ทำให้ไม่อาจใช้แนวทางเดียวกับขยะทั่วไปได้ คือปริมาณน้อยแต่ความเสี่ยงสูง องค์ประกอบที่ถูกกำหนดจากภายนอกเขตอำนาจของ อปท. และการขาดทั้งความถี่และแรงจูงใจทางเศรษฐกิจในระดับครัวเรือน ข้อสรุปนี้นำไปสู่คำถามว่า เหตุใดระบบจึงยังไม่พัฒนาเครื่องมือเฉพาะสำหรับขยะกระแสนี้</w:t>
      </w:r>
    </w:p>
    <w:p w14:paraId="52DCC006" w14:textId="77777777" w:rsidR="00B62CED" w:rsidRPr="002B1CD2" w:rsidRDefault="00B62CED" w:rsidP="00796CBE">
      <w:pPr>
        <w:tabs>
          <w:tab w:val="left" w:pos="720"/>
          <w:tab w:val="left" w:pos="1009"/>
        </w:tabs>
        <w:jc w:val="thaiDistribute"/>
        <w:rPr>
          <w:rFonts w:ascii="TH SarabunPSK" w:hAnsi="TH SarabunPSK" w:cs="TH SarabunPSK"/>
          <w:sz w:val="28"/>
          <w:szCs w:val="28"/>
        </w:rPr>
      </w:pPr>
    </w:p>
    <w:p w14:paraId="41631890" w14:textId="77777777"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cs/>
        </w:rPr>
        <w:t>ช่องว่างเชิงสถาบันสามประการ</w:t>
      </w:r>
    </w:p>
    <w:p w14:paraId="36B09D60" w14:textId="2DA59C15" w:rsidR="00581470"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1. ช่องว่างด้านแรงจูงใจที่เกิดจากตัวชี้วัด</w:t>
      </w:r>
    </w:p>
    <w:p w14:paraId="17AB9080" w14:textId="52013AB9" w:rsidR="004013E9" w:rsidRPr="002B1CD2" w:rsidRDefault="00581470"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004013E9" w:rsidRPr="002B1CD2">
        <w:rPr>
          <w:rFonts w:ascii="TH SarabunPSK" w:hAnsi="TH SarabunPSK" w:cs="TH SarabunPSK"/>
          <w:sz w:val="28"/>
          <w:szCs w:val="28"/>
          <w:cs/>
        </w:rPr>
        <w:t xml:space="preserve">ช่องว่างประการแรกเกิดจากการออกแบบตัวชี้วัดเอง เมื่อเป้าหมายระดับชาติถูกกำหนดเป็นอัตราการนำขยะกลับมาใช้ประโยชน์ ซึ่งคำนวณจากน้ำหนัก การลงทุนกับขยะที่มีน้ำหนักรวมเพียงราวร้อยละสองจุดห้าย่อมส่งผลต่อตัวเลขเป้าหมายน้อยมาก ในทางกลับกัน การลงทุนกับขยะอินทรีย์ซึ่งมีสัดส่วนเกือบครึ่งหนึ่งขององค์ประกอบขยะที่สถานที่กำจัด </w:t>
      </w:r>
      <w:r w:rsidR="00FD0698" w:rsidRPr="002B1CD2">
        <w:rPr>
          <w:rFonts w:ascii="TH SarabunPSK" w:hAnsi="TH SarabunPSK" w:cs="TH SarabunPSK"/>
          <w:sz w:val="28"/>
          <w:szCs w:val="28"/>
        </w:rPr>
        <w:t xml:space="preserve">               </w:t>
      </w:r>
      <w:r w:rsidR="004013E9" w:rsidRPr="002B1CD2">
        <w:rPr>
          <w:rFonts w:ascii="TH SarabunPSK" w:hAnsi="TH SarabunPSK" w:cs="TH SarabunPSK"/>
          <w:sz w:val="28"/>
          <w:szCs w:val="28"/>
          <w:cs/>
        </w:rPr>
        <w:t>ให้ผลตอบแทนเชิงตัวชี้วัดสูงกว่าอย่างเทียบกันไม่ได้ ผู้บริหารท้องถิ่นที่ถูกประเมินด้วยตัวชี้วัดนี้ จึงมิได้ตัดสินใจผิดพลาดเมื่อเลือกลงทุนกับขยะอินทรีย์ก่อน หากแต่ตัดสินใจอย่างมีเหตุผลภายใต้กติกาที่ถูกวางไว้ ปัญหาจึงอยู่ที่กติกา มิใช่ที่ผู้ปฏิบัติ</w:t>
      </w:r>
    </w:p>
    <w:p w14:paraId="27FEF26A" w14:textId="3D33AA56"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2. ช่องว่างด้านขนาด</w:t>
      </w:r>
    </w:p>
    <w:p w14:paraId="7AA69975" w14:textId="4078E002" w:rsidR="004013E9"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ช่องว่างประการที่สองเป็นปัญหาเชิงเศรษฐศาสตร์ เมื่อกระจายปริมาณของเสียอันตรายจากชุมชนทั้งประเทศ ไปยัง อปท. ราว 7,776 แห่ง ปริมาณเฉลี่ยที่เกิดขึ้นในแต่ละแห่งย่อมน้อยเกินกว่าจะคุ้มค่าต่อการลงทุนสร้างระบบเก็บรวบรวม และส่งกำจัดของตนเอง ขณะที่ต้นทุนการส่งกำจัดอย่างถูกหลักวิชาการต่อหน่วยสูงกว่าขยะทั่วไปมาก และสถานที่รับกำจัดที่ได้มาตรฐานมีอยู่จำกัดและกระจุกตัวในบางพื้นที่ ปัญหานี้เป็นตัวอย่างคลาสสิกของกรณีที่ การรวมกลุ่มพื้นที่เป็นทางออกเชิงเทคนิคที่ชัดเจน แต่ติดขัดในทางปฏิบัติเพราะต้องอาศัยความร่วมมือระหว่างองค์กร ที่ต่างเป็นอิสระต่อกัน ซึ่งสอดคล้องกับ</w:t>
      </w:r>
      <w:r w:rsidRPr="002B1CD2">
        <w:rPr>
          <w:rFonts w:ascii="TH SarabunPSK" w:hAnsi="TH SarabunPSK" w:cs="TH SarabunPSK"/>
          <w:sz w:val="28"/>
          <w:szCs w:val="28"/>
          <w:cs/>
        </w:rPr>
        <w:lastRenderedPageBreak/>
        <w:t>ข้อสังเกตว่าความไม่สมมาตรด้านทรัพยากรและสมรรถนะระหว่าง อปท. เป็นข้อจำกัดเชิงโครงสร้างของการจัดการขยะไทย (นิภาพรรณ เจนสันติกุล</w:t>
      </w:r>
      <w:r w:rsidRPr="002B1CD2">
        <w:rPr>
          <w:rFonts w:ascii="TH SarabunPSK" w:hAnsi="TH SarabunPSK" w:cs="TH SarabunPSK"/>
          <w:sz w:val="28"/>
          <w:szCs w:val="28"/>
        </w:rPr>
        <w:t xml:space="preserve">, </w:t>
      </w:r>
      <w:r w:rsidRPr="002B1CD2">
        <w:rPr>
          <w:rFonts w:ascii="TH SarabunPSK" w:hAnsi="TH SarabunPSK" w:cs="TH SarabunPSK"/>
          <w:sz w:val="28"/>
          <w:szCs w:val="28"/>
          <w:cs/>
        </w:rPr>
        <w:t>2565)</w:t>
      </w:r>
    </w:p>
    <w:p w14:paraId="645A0C3F" w14:textId="6E57B368"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3. ช่องว่างด้านความรับผิดชอบปลายทาง</w:t>
      </w:r>
    </w:p>
    <w:p w14:paraId="51836E79" w14:textId="13FAE6EA" w:rsidR="00E77D6F"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ช่องว่างประการที่สามคือการที่กฎหมายปัจจุบันมอบภาระหลังการบริโภคทั้งหมดให้แก่ อปท. โดยผู้ผลิตแบตเตอรี่ หลอดไฟ และเครื่องใช้ไฟฟ้าซึ่งเป็นผู้ตัดสินใจออกแบบผลิตภัณฑ์และเป็นผู้ได้ประโยชน์จากการจำหน่าย ไม่มีพันธะตามกฎหมายในการรับคืนซากผลิตภัณฑ์หรือร่วมออกค่าใช้จ่ายในการกำจัด โครงสร้างเช่นนี้ทำให้ต้นทุนภายนอกของการออกแบบผลิตภัณฑ์ที่ถอดแยกยากถูกผลักมาเป็นภาระงบประมาณของท้องถิ่นโดยสมบูรณ์ การวิเคราะห์การเมืองของเศรษฐกิจหมุนเวียนไทยยังชี้เพิ่มเติมว่า ระบบรีไซเคิลของไทยพึ่งพาแรงงานภาคไม่เป็นทางการ อย่างมีนัยสำคัญ แต่นโยบายที่ผ่านมามิได้รับรองสถานะและสร้างหลักประกันให้แรงงานกลุ่มนี้ (</w:t>
      </w:r>
      <w:r w:rsidRPr="002B1CD2">
        <w:rPr>
          <w:rFonts w:ascii="TH SarabunPSK" w:hAnsi="TH SarabunPSK" w:cs="TH SarabunPSK"/>
          <w:sz w:val="28"/>
          <w:szCs w:val="28"/>
        </w:rPr>
        <w:t xml:space="preserve">Marks, Miller, &amp; Vassanadumrongdee, </w:t>
      </w:r>
      <w:r w:rsidRPr="002B1CD2">
        <w:rPr>
          <w:rFonts w:ascii="TH SarabunPSK" w:hAnsi="TH SarabunPSK" w:cs="TH SarabunPSK"/>
          <w:sz w:val="28"/>
          <w:szCs w:val="28"/>
          <w:cs/>
        </w:rPr>
        <w:t>2023) ซึ่งมีความสำคัญเป็นพิเศษกับซากผลิตภัณฑ์อิเล็กทรอนิกส์ ที่มีมูลค่าและถูกเก็บรวบรวมโดยผู้ประกอบการรายย่อยอยู่แล้ว</w:t>
      </w:r>
    </w:p>
    <w:p w14:paraId="7F666231" w14:textId="77777777" w:rsidR="00CF608E" w:rsidRPr="002B1CD2" w:rsidRDefault="00CF608E" w:rsidP="000612CB">
      <w:pPr>
        <w:tabs>
          <w:tab w:val="left" w:pos="720"/>
          <w:tab w:val="left" w:pos="1009"/>
        </w:tabs>
        <w:jc w:val="thaiDistribute"/>
        <w:rPr>
          <w:rFonts w:ascii="TH SarabunPSK" w:hAnsi="TH SarabunPSK" w:cs="TH SarabunPSK"/>
          <w:sz w:val="28"/>
          <w:szCs w:val="28"/>
        </w:rPr>
      </w:pPr>
    </w:p>
    <w:p w14:paraId="44711155" w14:textId="1A187D06" w:rsidR="005D4082" w:rsidRPr="002B1CD2" w:rsidRDefault="005D4082" w:rsidP="000612CB">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b/>
          <w:bCs/>
          <w:sz w:val="28"/>
          <w:szCs w:val="28"/>
          <w:cs/>
        </w:rPr>
        <w:t xml:space="preserve">ตารางที่ </w:t>
      </w:r>
      <w:r w:rsidRPr="002B1CD2">
        <w:rPr>
          <w:rFonts w:ascii="TH SarabunPSK" w:hAnsi="TH SarabunPSK" w:cs="TH SarabunPSK"/>
          <w:b/>
          <w:bCs/>
          <w:sz w:val="28"/>
          <w:szCs w:val="28"/>
        </w:rPr>
        <w:t>1</w:t>
      </w:r>
      <w:r w:rsidRPr="002B1CD2">
        <w:rPr>
          <w:rFonts w:ascii="TH SarabunPSK" w:hAnsi="TH SarabunPSK" w:cs="TH SarabunPSK"/>
          <w:sz w:val="28"/>
          <w:szCs w:val="28"/>
        </w:rPr>
        <w:t xml:space="preserve"> </w:t>
      </w:r>
      <w:r w:rsidR="004013E9" w:rsidRPr="002B1CD2">
        <w:rPr>
          <w:rFonts w:ascii="TH SarabunPSK" w:hAnsi="TH SarabunPSK" w:cs="TH SarabunPSK"/>
          <w:sz w:val="28"/>
          <w:szCs w:val="28"/>
          <w:cs/>
        </w:rPr>
        <w:t>ช่องว่างเชิงสถาบันสามประการ กลไกที่ทำให้เกิดขึ้น และผลที่ปรากฏในทางปฏิบัติ</w:t>
      </w:r>
    </w:p>
    <w:tbl>
      <w:tblPr>
        <w:tblStyle w:val="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8"/>
        <w:gridCol w:w="3159"/>
        <w:gridCol w:w="3159"/>
      </w:tblGrid>
      <w:tr w:rsidR="00A5191E" w:rsidRPr="002B1CD2" w14:paraId="2FAB2225" w14:textId="00B69135" w:rsidTr="004013E9">
        <w:tc>
          <w:tcPr>
            <w:tcW w:w="1500" w:type="pct"/>
            <w:tcBorders>
              <w:bottom w:val="single" w:sz="4" w:space="0" w:color="auto"/>
            </w:tcBorders>
          </w:tcPr>
          <w:p w14:paraId="4B42DD2B" w14:textId="7B3EC728"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ช่องว่าง</w:t>
            </w:r>
          </w:p>
        </w:tc>
        <w:tc>
          <w:tcPr>
            <w:tcW w:w="1750" w:type="pct"/>
            <w:tcBorders>
              <w:bottom w:val="single" w:sz="4" w:space="0" w:color="auto"/>
            </w:tcBorders>
          </w:tcPr>
          <w:p w14:paraId="5F2BA05F" w14:textId="326B4CBB"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กลไกที่ทำให้เกิดขึ้น</w:t>
            </w:r>
          </w:p>
        </w:tc>
        <w:tc>
          <w:tcPr>
            <w:tcW w:w="1750" w:type="pct"/>
            <w:tcBorders>
              <w:bottom w:val="single" w:sz="4" w:space="0" w:color="auto"/>
            </w:tcBorders>
          </w:tcPr>
          <w:p w14:paraId="27B44FFA" w14:textId="596B7DDF"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ผลที่ปรากฏในทางปฏิบัติ</w:t>
            </w:r>
          </w:p>
        </w:tc>
      </w:tr>
      <w:tr w:rsidR="00A5191E" w:rsidRPr="002B1CD2" w14:paraId="166F6C91" w14:textId="0A6DB8B6" w:rsidTr="004013E9">
        <w:tc>
          <w:tcPr>
            <w:tcW w:w="1500" w:type="pct"/>
            <w:tcBorders>
              <w:top w:val="single" w:sz="4" w:space="0" w:color="auto"/>
            </w:tcBorders>
          </w:tcPr>
          <w:p w14:paraId="5349C0B4" w14:textId="0BC8A8FC"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ด้านแรงจูงใจ</w:t>
            </w:r>
          </w:p>
        </w:tc>
        <w:tc>
          <w:tcPr>
            <w:tcW w:w="1750" w:type="pct"/>
            <w:tcBorders>
              <w:top w:val="single" w:sz="4" w:space="0" w:color="auto"/>
            </w:tcBorders>
          </w:tcPr>
          <w:p w14:paraId="4F729C5F" w14:textId="33F149DC"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เป้าหมายระดับชาติวัดด้วยน้ำหนักขยะกระแสนี้จึงแทบไม่มีผลต่อตัวเลข</w:t>
            </w:r>
          </w:p>
        </w:tc>
        <w:tc>
          <w:tcPr>
            <w:tcW w:w="1750" w:type="pct"/>
            <w:tcBorders>
              <w:top w:val="single" w:sz="4" w:space="0" w:color="auto"/>
            </w:tcBorders>
          </w:tcPr>
          <w:p w14:paraId="7AE5C053" w14:textId="36841C25"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จัดลำดับความสำคัญไว้ท้ายสุดอย่างมีเหตุผล</w:t>
            </w:r>
          </w:p>
        </w:tc>
      </w:tr>
      <w:tr w:rsidR="00A5191E" w:rsidRPr="002B1CD2" w14:paraId="4A81EAC5" w14:textId="62F26AFD" w:rsidTr="004013E9">
        <w:tc>
          <w:tcPr>
            <w:tcW w:w="1500" w:type="pct"/>
          </w:tcPr>
          <w:p w14:paraId="4BA4C1C1" w14:textId="053893AF"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ด้านขนาด</w:t>
            </w:r>
          </w:p>
        </w:tc>
        <w:tc>
          <w:tcPr>
            <w:tcW w:w="1750" w:type="pct"/>
          </w:tcPr>
          <w:p w14:paraId="0AA9E31B" w14:textId="668644B0"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ปริมาณเฉลี่ยต่อ 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น้อยเกินกว่าจะคุ้มค่าต่อการลงทุนระบบเฉพาะ</w:t>
            </w:r>
          </w:p>
        </w:tc>
        <w:tc>
          <w:tcPr>
            <w:tcW w:w="1750" w:type="pct"/>
          </w:tcPr>
          <w:p w14:paraId="327A3C0E" w14:textId="480602E8"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ไม่มีระบบเก็บรวบรวมประจำ ต้องอาศัยกิจกรรมรับทิ้งเป็นครั้งคราว</w:t>
            </w:r>
          </w:p>
        </w:tc>
      </w:tr>
      <w:tr w:rsidR="00A5191E" w:rsidRPr="002B1CD2" w14:paraId="1DEE2B7A" w14:textId="47D83DBF" w:rsidTr="004013E9">
        <w:tc>
          <w:tcPr>
            <w:tcW w:w="1500" w:type="pct"/>
          </w:tcPr>
          <w:p w14:paraId="751872A3" w14:textId="29AA587F"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ด้านความรับผิดชอบปลายทาง</w:t>
            </w:r>
          </w:p>
        </w:tc>
        <w:tc>
          <w:tcPr>
            <w:tcW w:w="1750" w:type="pct"/>
          </w:tcPr>
          <w:p w14:paraId="45F2C6B5" w14:textId="0711CE4A"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กฎหมายไม่กำหนดพันธะรับคืนซากผลิตภัณฑ์แก่ผู้ผลิต</w:t>
            </w:r>
          </w:p>
        </w:tc>
        <w:tc>
          <w:tcPr>
            <w:tcW w:w="1750" w:type="pct"/>
          </w:tcPr>
          <w:p w14:paraId="0DBDF263" w14:textId="5123B1AB"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ต้นทุนการกำจัดตกเป็นภาระงบประมาณท้องถิ่นทั้งหมด</w:t>
            </w:r>
          </w:p>
        </w:tc>
      </w:tr>
      <w:tr w:rsidR="00A5191E" w:rsidRPr="002B1CD2" w14:paraId="71D3198A" w14:textId="2F46FB44" w:rsidTr="004013E9">
        <w:tc>
          <w:tcPr>
            <w:tcW w:w="1500" w:type="pct"/>
          </w:tcPr>
          <w:p w14:paraId="55069EC4" w14:textId="6163BD38"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ผลรวม</w:t>
            </w:r>
          </w:p>
        </w:tc>
        <w:tc>
          <w:tcPr>
            <w:tcW w:w="1750" w:type="pct"/>
          </w:tcPr>
          <w:p w14:paraId="7A05AEEC" w14:textId="4A5EEDDA"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ช่องว่างทั้งสามเสริมแรงกัน</w:t>
            </w:r>
          </w:p>
        </w:tc>
        <w:tc>
          <w:tcPr>
            <w:tcW w:w="1750" w:type="pct"/>
          </w:tcPr>
          <w:p w14:paraId="47149F40" w14:textId="36D79C3D" w:rsidR="004013E9" w:rsidRPr="002B1CD2" w:rsidRDefault="004013E9" w:rsidP="004013E9">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ของเสียอันตรายและซากอิเล็กทรอนิกส์ถูกทิ้งปะปนมาถึงสถานที่กำจัด</w:t>
            </w:r>
          </w:p>
        </w:tc>
      </w:tr>
    </w:tbl>
    <w:p w14:paraId="657DD8A4" w14:textId="6A52AEFA" w:rsidR="005D4082" w:rsidRPr="002B1CD2" w:rsidRDefault="004013E9" w:rsidP="000612CB">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cs/>
        </w:rPr>
        <w:t>ที่มา: ผู้เขียนสังเคราะห์จาก กรมควบคุมมลพิษ (2567</w:t>
      </w:r>
      <w:r w:rsidRPr="002B1CD2">
        <w:rPr>
          <w:rFonts w:ascii="TH SarabunPSK" w:hAnsi="TH SarabunPSK" w:cs="TH SarabunPSK"/>
          <w:sz w:val="28"/>
          <w:szCs w:val="28"/>
        </w:rPr>
        <w:t xml:space="preserve">, </w:t>
      </w:r>
      <w:r w:rsidRPr="002B1CD2">
        <w:rPr>
          <w:rFonts w:ascii="TH SarabunPSK" w:hAnsi="TH SarabunPSK" w:cs="TH SarabunPSK"/>
          <w:sz w:val="28"/>
          <w:szCs w:val="28"/>
          <w:cs/>
        </w:rPr>
        <w:t>2568)</w:t>
      </w:r>
      <w:r w:rsidRPr="002B1CD2">
        <w:rPr>
          <w:rFonts w:ascii="TH SarabunPSK" w:hAnsi="TH SarabunPSK" w:cs="TH SarabunPSK"/>
          <w:sz w:val="28"/>
          <w:szCs w:val="28"/>
        </w:rPr>
        <w:t xml:space="preserve">; Marks </w:t>
      </w:r>
      <w:r w:rsidRPr="002B1CD2">
        <w:rPr>
          <w:rFonts w:ascii="TH SarabunPSK" w:hAnsi="TH SarabunPSK" w:cs="TH SarabunPSK"/>
          <w:sz w:val="28"/>
          <w:szCs w:val="28"/>
          <w:cs/>
        </w:rPr>
        <w:t>และคณะ (2023)</w:t>
      </w:r>
    </w:p>
    <w:p w14:paraId="2534D829" w14:textId="77777777" w:rsidR="00EE4538" w:rsidRPr="002B1CD2" w:rsidRDefault="00EE4538" w:rsidP="000612CB">
      <w:pPr>
        <w:tabs>
          <w:tab w:val="left" w:pos="720"/>
          <w:tab w:val="left" w:pos="1009"/>
        </w:tabs>
        <w:jc w:val="thaiDistribute"/>
        <w:rPr>
          <w:rFonts w:ascii="TH SarabunPSK" w:hAnsi="TH SarabunPSK" w:cs="TH SarabunPSK"/>
          <w:sz w:val="28"/>
          <w:szCs w:val="28"/>
        </w:rPr>
      </w:pPr>
    </w:p>
    <w:p w14:paraId="562DE119" w14:textId="5DB27459"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 xml:space="preserve">สรุปหัวข้อที่ </w:t>
      </w:r>
      <w:r w:rsidRPr="002B1CD2">
        <w:rPr>
          <w:rFonts w:ascii="TH SarabunPSK" w:hAnsi="TH SarabunPSK" w:cs="TH SarabunPSK"/>
          <w:b/>
          <w:bCs/>
          <w:sz w:val="28"/>
          <w:szCs w:val="28"/>
        </w:rPr>
        <w:t>2</w:t>
      </w:r>
    </w:p>
    <w:p w14:paraId="24851E4C" w14:textId="3E3B82C1" w:rsidR="00EE4538"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ช่องว่างทั้งสามประการมิได้เป็นอิสระต่อกัน หากแต่เสริมแรงกันเป็นวงจร ตัวชี้วัดเชิงน้ำหนักทำให้ไม่มีแรงจูงใจลงทุน ข้อจำกัดด้านขนาดทำให้การลงทุนไม่คุ้มค่าแม้จะมีความตั้งใจ และการไม่มีพันธะของผู้ผลิตทำให้ไม่มีแหล่งทุนจากภายนอก เข้ามาชดเชย ผลลัพธ์ที่ปรากฏจึงเป็นสิ่งที่พยากรณ์ได้ตั้งแต่ต้น</w:t>
      </w:r>
    </w:p>
    <w:p w14:paraId="32D40D82" w14:textId="77777777" w:rsidR="004013E9" w:rsidRPr="002B1CD2" w:rsidRDefault="004013E9" w:rsidP="00581470">
      <w:pPr>
        <w:tabs>
          <w:tab w:val="left" w:pos="720"/>
          <w:tab w:val="left" w:pos="1009"/>
        </w:tabs>
        <w:jc w:val="thaiDistribute"/>
        <w:rPr>
          <w:rFonts w:ascii="TH SarabunPSK" w:hAnsi="TH SarabunPSK" w:cs="TH SarabunPSK"/>
          <w:sz w:val="28"/>
          <w:szCs w:val="28"/>
        </w:rPr>
      </w:pPr>
    </w:p>
    <w:p w14:paraId="503857D3" w14:textId="77777777"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cs/>
        </w:rPr>
        <w:t>แนวทางเชิงนโยบายสำหรับขยะที่มีปริมาณน้อยแต่ความเสี่ยงสูง</w:t>
      </w:r>
    </w:p>
    <w:p w14:paraId="1E29460A" w14:textId="1C8E075B" w:rsidR="00EE4538" w:rsidRPr="002B1CD2" w:rsidRDefault="004013E9" w:rsidP="004013E9">
      <w:pPr>
        <w:tabs>
          <w:tab w:val="left" w:pos="720"/>
          <w:tab w:val="left" w:pos="1009"/>
        </w:tabs>
        <w:ind w:firstLine="720"/>
        <w:jc w:val="thaiDistribute"/>
        <w:rPr>
          <w:rFonts w:ascii="TH SarabunPSK" w:hAnsi="TH SarabunPSK" w:cs="TH SarabunPSK"/>
          <w:b/>
          <w:bCs/>
          <w:sz w:val="28"/>
          <w:szCs w:val="28"/>
        </w:rPr>
      </w:pPr>
      <w:r w:rsidRPr="002B1CD2">
        <w:rPr>
          <w:rFonts w:ascii="TH SarabunPSK" w:hAnsi="TH SarabunPSK" w:cs="TH SarabunPSK"/>
          <w:b/>
          <w:bCs/>
          <w:sz w:val="28"/>
          <w:szCs w:val="28"/>
          <w:cs/>
        </w:rPr>
        <w:t>1. แก้ที่ตัวชี้วัดก่อน</w:t>
      </w:r>
    </w:p>
    <w:p w14:paraId="6A27342A" w14:textId="77777777" w:rsidR="004013E9" w:rsidRPr="002B1CD2" w:rsidRDefault="00EE4538"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004013E9" w:rsidRPr="002B1CD2">
        <w:rPr>
          <w:rFonts w:ascii="TH SarabunPSK" w:hAnsi="TH SarabunPSK" w:cs="TH SarabunPSK"/>
          <w:sz w:val="28"/>
          <w:szCs w:val="28"/>
          <w:cs/>
        </w:rPr>
        <w:t>เนื่องจากช่องว่างด้านแรงจูงใจเป็นต้นทางของอีกสองช่องว่าง ข้อเสนอลำดับแรกจึงเป็นการปรับตัวชี้วัด โดยแยกตัวชี้วัดสำหรับของเสียอันตรายจากชุมชนออกจากตัวชี้วัดรวมเชิงน้ำหนัก และกำหนดเป็นตัวชี้วัดเฉพาะ เช่น ร้อยละของ อปท. ที่มีจุดรับทิ้งประจำที่ประชาชนเข้าถึงได้ ปริมาณที่รวบรวมและส่งกำจัดอย่างถูกหลักวิชาการต่อปี และร้อยละของครัวเรือนที่ทราบว่าจะนำของเสียอันตรายไปทิ้งที่ใด การมีตัวชี้วัดเฉพาะจะเปลี่ยนภารกิจนี้ จากงานที่ทำแล้วไม่ปรากฏในผลการประเมิน เป็นงานที่มีผลต่อการประเมินโดยตรง</w:t>
      </w:r>
    </w:p>
    <w:p w14:paraId="7D092019" w14:textId="55187669"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2. สร้างขนาดด้วยการรวมกลุ่มระดับจังหวัด</w:t>
      </w:r>
    </w:p>
    <w:p w14:paraId="62214E0D" w14:textId="1D386361" w:rsidR="004013E9"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lastRenderedPageBreak/>
        <w:tab/>
      </w:r>
      <w:r w:rsidRPr="002B1CD2">
        <w:rPr>
          <w:rFonts w:ascii="TH SarabunPSK" w:hAnsi="TH SarabunPSK" w:cs="TH SarabunPSK"/>
          <w:sz w:val="28"/>
          <w:szCs w:val="28"/>
          <w:cs/>
        </w:rPr>
        <w:t xml:space="preserve">เนื่องจากปริมาณในระดับ อปท. เดี่ยวไม่คุ้มค่าต่อการลงทุน แนวทางที่เหมาะสมคือการรวมกลุ่มในระดับจังหวัด </w:t>
      </w:r>
      <w:r w:rsidRPr="002B1CD2">
        <w:rPr>
          <w:rFonts w:ascii="TH SarabunPSK" w:hAnsi="TH SarabunPSK" w:cs="TH SarabunPSK"/>
          <w:sz w:val="28"/>
          <w:szCs w:val="28"/>
        </w:rPr>
        <w:t xml:space="preserve"> </w:t>
      </w:r>
      <w:r w:rsidRPr="002B1CD2">
        <w:rPr>
          <w:rFonts w:ascii="TH SarabunPSK" w:hAnsi="TH SarabunPSK" w:cs="TH SarabunPSK"/>
          <w:sz w:val="28"/>
          <w:szCs w:val="28"/>
          <w:cs/>
        </w:rPr>
        <w:t>โดยให้องค์การบริหารส่วนจังหวัดหรือหน่วยงานส่วนภูมิภาคทำหน้าที่เป็นศูนย์รวบรวมกลาง และให้ อปท. แต่ละแห่ง รับผิดชอบเฉพาะการเก็บรวบรวมในพื้นที่และการส่งต่อตามรอบเวลาที่กำหนด รูปแบบนี้เปลี่ยนต้นทุนคงที่ของการสร้างระบบ ให้กลายเป็นต้นทุนผันแปรของการขนส่ง ซึ่งเป็นภาระที่ อปท. ขนาดเล็กรับได้ และสอดคล้องกับหลักการจัดการขยะแบบบูรณาการ ที่เน้นความสอดคล้องของมิติเทคนิค เศรษฐศาสตร์ และสถาบันไปพร้อมกัน (</w:t>
      </w:r>
      <w:r w:rsidRPr="002B1CD2">
        <w:rPr>
          <w:rFonts w:ascii="TH SarabunPSK" w:hAnsi="TH SarabunPSK" w:cs="TH SarabunPSK"/>
          <w:sz w:val="28"/>
          <w:szCs w:val="28"/>
        </w:rPr>
        <w:t xml:space="preserve">Guerrero, Maas, &amp; Hogland, </w:t>
      </w:r>
      <w:r w:rsidRPr="002B1CD2">
        <w:rPr>
          <w:rFonts w:ascii="TH SarabunPSK" w:hAnsi="TH SarabunPSK" w:cs="TH SarabunPSK"/>
          <w:sz w:val="28"/>
          <w:szCs w:val="28"/>
          <w:cs/>
        </w:rPr>
        <w:t>2013) ทั้งนี้ ความสำเร็จของการรวมกลุ่มขึ้นอยู่กับการออกแบบกลไกแบ่งต้นทุนที่โปร่งใสและการอภิบาลร่วมระหว่างท้องถิ่น ตามหลักการอภิบาลสาธารณะแนวใหม่ (</w:t>
      </w:r>
      <w:r w:rsidRPr="002B1CD2">
        <w:rPr>
          <w:rFonts w:ascii="TH SarabunPSK" w:hAnsi="TH SarabunPSK" w:cs="TH SarabunPSK"/>
          <w:sz w:val="28"/>
          <w:szCs w:val="28"/>
        </w:rPr>
        <w:t xml:space="preserve">Osborne, </w:t>
      </w:r>
      <w:r w:rsidRPr="002B1CD2">
        <w:rPr>
          <w:rFonts w:ascii="TH SarabunPSK" w:hAnsi="TH SarabunPSK" w:cs="TH SarabunPSK"/>
          <w:sz w:val="28"/>
          <w:szCs w:val="28"/>
          <w:cs/>
        </w:rPr>
        <w:t>2010)</w:t>
      </w:r>
    </w:p>
    <w:p w14:paraId="32BC2303" w14:textId="6DB5F085"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3. โอนความรับผิดชอบกลับไปยังต้นทาง</w:t>
      </w:r>
    </w:p>
    <w:p w14:paraId="7697FF35" w14:textId="3097C70D" w:rsidR="004013E9"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มาตรการที่มีศักยภาพสูงสุดในระยะยาวคือการนำหลักการขยายความรับผิดชอบของผู้ผลิตมาบังคับใช้กับผลิตภัณฑ์ ที่กลายเป็นของเสียอันตรายเมื่อหมดอายุการใช้งาน โดยกำหนดให้ผู้ผลิตและผู้นำเข้าจัดให้มีจุดรับคืนซากผลิตภัณฑ์ และร่วมรับภาระค่าใช้จ่ายในการกำจัด ข้อเสนอนี้แก้ปัญหาที่สาเหตุมากกว่าที่ปลายเหตุ เพราะเปลี่ยนสมการต้นทุน ของทั้งระบบ และสร้างแรงจูงใจให้ผู้ผลิตออกแบบผลิตภัณฑ์ที่ถอดแยกและรีไซเคิลได้ง่ายขึ้น การศึกษาเครือข่ายผู้กระทำการในระบบรีไซเคิลของไทยชี้ว่าระบบประกอบด้วยเครือข่ายนโยบาย เครือข่ายเศรษฐกิจ และเครือข่ายสังคมที่ทำหน้าที่ต่างกัน (</w:t>
      </w:r>
      <w:r w:rsidRPr="002B1CD2">
        <w:rPr>
          <w:rFonts w:ascii="TH SarabunPSK" w:hAnsi="TH SarabunPSK" w:cs="TH SarabunPSK"/>
          <w:sz w:val="28"/>
          <w:szCs w:val="28"/>
        </w:rPr>
        <w:t xml:space="preserve">Samitthiwetcharong, Kullavanijaya, Suwanteep, &amp; Chavalparit, </w:t>
      </w:r>
      <w:r w:rsidRPr="002B1CD2">
        <w:rPr>
          <w:rFonts w:ascii="TH SarabunPSK" w:hAnsi="TH SarabunPSK" w:cs="TH SarabunPSK"/>
          <w:sz w:val="28"/>
          <w:szCs w:val="28"/>
          <w:cs/>
        </w:rPr>
        <w:t>2023) การออกแบบกลไกรับคืนจึงควรเชื่อมผู้เก็บรวบรวมรายย่อยที่มีอยู่แล้วเข้าสู่ระบบที่เป็นทางการ แทนการสร้างช่องทางใหม่ที่แข่งขันกับพวกเขา</w:t>
      </w:r>
    </w:p>
    <w:p w14:paraId="40267B48" w14:textId="509FE307" w:rsidR="004013E9" w:rsidRPr="002B1CD2" w:rsidRDefault="004013E9" w:rsidP="004013E9">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rPr>
        <w:tab/>
      </w:r>
      <w:r w:rsidRPr="002B1CD2">
        <w:rPr>
          <w:rFonts w:ascii="TH SarabunPSK" w:hAnsi="TH SarabunPSK" w:cs="TH SarabunPSK"/>
          <w:b/>
          <w:bCs/>
          <w:sz w:val="28"/>
          <w:szCs w:val="28"/>
          <w:cs/>
        </w:rPr>
        <w:t>4. ออกแบบความสะดวกให้เหมาะกับความถี่ที่ต่ำ</w:t>
      </w:r>
    </w:p>
    <w:p w14:paraId="5F39713E" w14:textId="1E493B0A" w:rsidR="00E77D6F" w:rsidRPr="002B1CD2" w:rsidRDefault="004013E9" w:rsidP="004013E9">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ในระดับปฏิบัติ เนื่องจากครัวเรือนทิ้งของเสียอันตรายไม่บ่อย มาตรการที่เหมาะสมจึงมิใช่การรณรงค์ให้จดจำวิธีปฏิบัติ แต่คือการทำให้จุดรับทิ้งอยู่ในเส้นทางที่ประชาชนผ่านอยู่แล้ว เช่น ที่ทำการ อปท. โรงเรียน วัด หรือร้านค้าในชุมชน และการกำหนดวันรับทิ้งประจำที่ประกาศล่วงหน้าเป็นรอบคงที่ ควบคู่กับการเปิดเผยข้อมูลว่าของที่รับไปถูกส่งไปที่ใด และกำจัดอย่างไร ซึ่งเป็นกลไกสร้างความไว้วางใจที่จำเป็นต่อการมีส่วนร่วมอย่างต่อเนื่อง (สัญญาศรณ์ สวัสดิ์ไธสง และอภิชัย บัวละพา</w:t>
      </w:r>
      <w:r w:rsidRPr="002B1CD2">
        <w:rPr>
          <w:rFonts w:ascii="TH SarabunPSK" w:hAnsi="TH SarabunPSK" w:cs="TH SarabunPSK"/>
          <w:sz w:val="28"/>
          <w:szCs w:val="28"/>
        </w:rPr>
        <w:t xml:space="preserve">, </w:t>
      </w:r>
      <w:r w:rsidRPr="002B1CD2">
        <w:rPr>
          <w:rFonts w:ascii="TH SarabunPSK" w:hAnsi="TH SarabunPSK" w:cs="TH SarabunPSK"/>
          <w:sz w:val="28"/>
          <w:szCs w:val="28"/>
          <w:cs/>
        </w:rPr>
        <w:t>2569) ทั้งนี้ การมีส่วนร่วมของประชาชนเป็นตัวแปรที่งานวิจัยในบริบทไทย ยืนยันตรงกันว่าชี้ขาดความต่อเนื่องของโครงการ (นฤนาท ยืนยง และพิชชานาถ เงินดีเจริญ</w:t>
      </w:r>
      <w:r w:rsidRPr="002B1CD2">
        <w:rPr>
          <w:rFonts w:ascii="TH SarabunPSK" w:hAnsi="TH SarabunPSK" w:cs="TH SarabunPSK"/>
          <w:sz w:val="28"/>
          <w:szCs w:val="28"/>
        </w:rPr>
        <w:t xml:space="preserve">, </w:t>
      </w:r>
      <w:r w:rsidRPr="002B1CD2">
        <w:rPr>
          <w:rFonts w:ascii="TH SarabunPSK" w:hAnsi="TH SarabunPSK" w:cs="TH SarabunPSK"/>
          <w:sz w:val="28"/>
          <w:szCs w:val="28"/>
          <w:cs/>
        </w:rPr>
        <w:t>2565)</w:t>
      </w:r>
    </w:p>
    <w:p w14:paraId="5DC6B1CC" w14:textId="77777777" w:rsidR="005A1345" w:rsidRPr="002B1CD2" w:rsidRDefault="005A1345" w:rsidP="00A315CC">
      <w:pPr>
        <w:tabs>
          <w:tab w:val="left" w:pos="720"/>
          <w:tab w:val="left" w:pos="1009"/>
        </w:tabs>
        <w:jc w:val="thaiDistribute"/>
        <w:rPr>
          <w:rFonts w:ascii="TH SarabunPSK" w:hAnsi="TH SarabunPSK" w:cs="TH SarabunPSK"/>
          <w:sz w:val="28"/>
          <w:szCs w:val="28"/>
        </w:rPr>
      </w:pPr>
    </w:p>
    <w:p w14:paraId="3BE8BDDE" w14:textId="15591A5D" w:rsidR="00AE3161" w:rsidRPr="002B1CD2" w:rsidRDefault="00AE3161" w:rsidP="00A315CC">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b/>
          <w:bCs/>
          <w:sz w:val="28"/>
          <w:szCs w:val="28"/>
          <w:cs/>
        </w:rPr>
        <w:t xml:space="preserve">ตารางที่ </w:t>
      </w:r>
      <w:r w:rsidRPr="002B1CD2">
        <w:rPr>
          <w:rFonts w:ascii="TH SarabunPSK" w:hAnsi="TH SarabunPSK" w:cs="TH SarabunPSK"/>
          <w:b/>
          <w:bCs/>
          <w:sz w:val="28"/>
          <w:szCs w:val="28"/>
        </w:rPr>
        <w:t>2</w:t>
      </w:r>
      <w:r w:rsidRPr="002B1CD2">
        <w:rPr>
          <w:rFonts w:ascii="TH SarabunPSK" w:hAnsi="TH SarabunPSK" w:cs="TH SarabunPSK"/>
          <w:sz w:val="28"/>
          <w:szCs w:val="28"/>
        </w:rPr>
        <w:t xml:space="preserve"> </w:t>
      </w:r>
      <w:r w:rsidR="005A1345" w:rsidRPr="002B1CD2">
        <w:rPr>
          <w:rFonts w:ascii="TH SarabunPSK" w:hAnsi="TH SarabunPSK" w:cs="TH SarabunPSK"/>
          <w:sz w:val="28"/>
          <w:szCs w:val="28"/>
          <w:cs/>
        </w:rPr>
        <w:t>ข้อเสนอมาตรการ จำแนกตามช่องว่างที่แก้ ผู้รับผิดชอบหลัก และตัวชี้วัด</w:t>
      </w:r>
    </w:p>
    <w:tbl>
      <w:tblPr>
        <w:tblStyle w:val="1"/>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3119"/>
        <w:gridCol w:w="2551"/>
        <w:gridCol w:w="2080"/>
      </w:tblGrid>
      <w:tr w:rsidR="00A5191E" w:rsidRPr="002B1CD2" w14:paraId="0671332B" w14:textId="77777777" w:rsidTr="005A1345">
        <w:tc>
          <w:tcPr>
            <w:tcW w:w="1276" w:type="dxa"/>
            <w:tcBorders>
              <w:bottom w:val="single" w:sz="4" w:space="0" w:color="auto"/>
            </w:tcBorders>
          </w:tcPr>
          <w:p w14:paraId="74B224DA" w14:textId="6E979D38"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ช่องว่างที่แก้</w:t>
            </w:r>
          </w:p>
        </w:tc>
        <w:tc>
          <w:tcPr>
            <w:tcW w:w="3119" w:type="dxa"/>
            <w:tcBorders>
              <w:bottom w:val="single" w:sz="4" w:space="0" w:color="auto"/>
            </w:tcBorders>
          </w:tcPr>
          <w:p w14:paraId="713CBFB2" w14:textId="497768AD"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มาตรการ</w:t>
            </w:r>
          </w:p>
        </w:tc>
        <w:tc>
          <w:tcPr>
            <w:tcW w:w="2551" w:type="dxa"/>
            <w:tcBorders>
              <w:bottom w:val="single" w:sz="4" w:space="0" w:color="auto"/>
            </w:tcBorders>
          </w:tcPr>
          <w:p w14:paraId="4292FD49" w14:textId="04F78E17"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ผู้รับผิดชอบหลัก</w:t>
            </w:r>
          </w:p>
        </w:tc>
        <w:tc>
          <w:tcPr>
            <w:tcW w:w="2080" w:type="dxa"/>
            <w:tcBorders>
              <w:bottom w:val="single" w:sz="4" w:space="0" w:color="auto"/>
            </w:tcBorders>
          </w:tcPr>
          <w:p w14:paraId="1C0BA978" w14:textId="2812C8A5"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b/>
                <w:bCs/>
                <w:sz w:val="28"/>
                <w:szCs w:val="28"/>
                <w:cs/>
              </w:rPr>
              <w:t>ตัวชี้วัด</w:t>
            </w:r>
          </w:p>
        </w:tc>
      </w:tr>
      <w:tr w:rsidR="00A5191E" w:rsidRPr="002B1CD2" w14:paraId="72CE17B6" w14:textId="77777777" w:rsidTr="005A1345">
        <w:tc>
          <w:tcPr>
            <w:tcW w:w="1276" w:type="dxa"/>
          </w:tcPr>
          <w:p w14:paraId="3FC4B28A" w14:textId="73A835EF"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ด้านแรงจูงใจ</w:t>
            </w:r>
          </w:p>
        </w:tc>
        <w:tc>
          <w:tcPr>
            <w:tcW w:w="3119" w:type="dxa"/>
          </w:tcPr>
          <w:p w14:paraId="780241A1" w14:textId="172A036B"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แยกตัวชี้วัดของเสียอันตรายจากชุมชนออกจากตัวชี้วัดรวมเชิงน้ำหนัก</w:t>
            </w:r>
          </w:p>
        </w:tc>
        <w:tc>
          <w:tcPr>
            <w:tcW w:w="2551" w:type="dxa"/>
          </w:tcPr>
          <w:p w14:paraId="2D6E6BB1" w14:textId="77777777"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กรมควบคุมมลพิษ</w:t>
            </w:r>
            <w:r w:rsidRPr="002B1CD2">
              <w:rPr>
                <w:rFonts w:ascii="TH SarabunPSK" w:hAnsi="TH SarabunPSK" w:cs="TH SarabunPSK"/>
                <w:sz w:val="28"/>
                <w:szCs w:val="28"/>
              </w:rPr>
              <w:t xml:space="preserve">;      </w:t>
            </w:r>
          </w:p>
          <w:p w14:paraId="099CB41A" w14:textId="4794AAEF"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กรมส่งเสริมการปกครองท้องถิ่น</w:t>
            </w:r>
          </w:p>
        </w:tc>
        <w:tc>
          <w:tcPr>
            <w:tcW w:w="2080" w:type="dxa"/>
          </w:tcPr>
          <w:p w14:paraId="5BB6119A" w14:textId="2BC236B1"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ร้อยละของ 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ที่มีจุดรับทิ้งประจำ</w:t>
            </w:r>
          </w:p>
        </w:tc>
      </w:tr>
      <w:tr w:rsidR="00A5191E" w:rsidRPr="002B1CD2" w14:paraId="2A5FF621" w14:textId="77777777" w:rsidTr="005A1345">
        <w:tc>
          <w:tcPr>
            <w:tcW w:w="1276" w:type="dxa"/>
          </w:tcPr>
          <w:p w14:paraId="677087FE" w14:textId="54B8F632"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ด้านขนาด</w:t>
            </w:r>
          </w:p>
        </w:tc>
        <w:tc>
          <w:tcPr>
            <w:tcW w:w="3119" w:type="dxa"/>
          </w:tcPr>
          <w:p w14:paraId="631E043F" w14:textId="5678FCFF"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 xml:space="preserve">จัดตั้งศูนย์รวบรวมระดับจังหวัด </w:t>
            </w:r>
            <w:r w:rsidRPr="002B1CD2">
              <w:rPr>
                <w:rFonts w:ascii="TH SarabunPSK" w:hAnsi="TH SarabunPSK" w:cs="TH SarabunPSK"/>
                <w:sz w:val="28"/>
                <w:szCs w:val="28"/>
              </w:rPr>
              <w:t xml:space="preserve">      </w:t>
            </w:r>
            <w:r w:rsidRPr="002B1CD2">
              <w:rPr>
                <w:rFonts w:ascii="TH SarabunPSK" w:hAnsi="TH SarabunPSK" w:cs="TH SarabunPSK"/>
                <w:sz w:val="28"/>
                <w:szCs w:val="28"/>
                <w:cs/>
              </w:rPr>
              <w:t>โดย 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รับผิดชอบการเก็บและ</w:t>
            </w:r>
            <w:r w:rsidRPr="002B1CD2">
              <w:rPr>
                <w:rFonts w:ascii="TH SarabunPSK" w:hAnsi="TH SarabunPSK" w:cs="TH SarabunPSK"/>
                <w:sz w:val="28"/>
                <w:szCs w:val="28"/>
              </w:rPr>
              <w:t xml:space="preserve">     </w:t>
            </w:r>
            <w:r w:rsidRPr="002B1CD2">
              <w:rPr>
                <w:rFonts w:ascii="TH SarabunPSK" w:hAnsi="TH SarabunPSK" w:cs="TH SarabunPSK"/>
                <w:sz w:val="28"/>
                <w:szCs w:val="28"/>
                <w:cs/>
              </w:rPr>
              <w:t>ส่งต่อตามรอบ</w:t>
            </w:r>
          </w:p>
        </w:tc>
        <w:tc>
          <w:tcPr>
            <w:tcW w:w="2551" w:type="dxa"/>
          </w:tcPr>
          <w:p w14:paraId="1195D116" w14:textId="1668D2BB"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องค์การบริหารส่วนจังหวัด</w:t>
            </w:r>
            <w:r w:rsidRPr="002B1CD2">
              <w:rPr>
                <w:rFonts w:ascii="TH SarabunPSK" w:hAnsi="TH SarabunPSK" w:cs="TH SarabunPSK"/>
                <w:sz w:val="28"/>
                <w:szCs w:val="28"/>
              </w:rPr>
              <w:t xml:space="preserve">; </w:t>
            </w:r>
            <w:r w:rsidRPr="002B1CD2">
              <w:rPr>
                <w:rFonts w:ascii="TH SarabunPSK" w:hAnsi="TH SarabunPSK" w:cs="TH SarabunPSK"/>
                <w:sz w:val="28"/>
                <w:szCs w:val="28"/>
                <w:cs/>
              </w:rPr>
              <w:t>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ในพื้นที่</w:t>
            </w:r>
          </w:p>
        </w:tc>
        <w:tc>
          <w:tcPr>
            <w:tcW w:w="2080" w:type="dxa"/>
          </w:tcPr>
          <w:p w14:paraId="3B82F78F" w14:textId="713CC6B8"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ปริมาณที่รวบรวมและ</w:t>
            </w:r>
            <w:r w:rsidRPr="002B1CD2">
              <w:rPr>
                <w:rFonts w:ascii="TH SarabunPSK" w:hAnsi="TH SarabunPSK" w:cs="TH SarabunPSK"/>
                <w:sz w:val="28"/>
                <w:szCs w:val="28"/>
              </w:rPr>
              <w:t xml:space="preserve">   </w:t>
            </w:r>
            <w:r w:rsidRPr="002B1CD2">
              <w:rPr>
                <w:rFonts w:ascii="TH SarabunPSK" w:hAnsi="TH SarabunPSK" w:cs="TH SarabunPSK"/>
                <w:sz w:val="28"/>
                <w:szCs w:val="28"/>
                <w:cs/>
              </w:rPr>
              <w:t>ส่งกำจัดถูกหลักวิชาการต่อปี</w:t>
            </w:r>
          </w:p>
        </w:tc>
      </w:tr>
      <w:tr w:rsidR="00A5191E" w:rsidRPr="002B1CD2" w14:paraId="7E14B6D2" w14:textId="77777777" w:rsidTr="005A1345">
        <w:tc>
          <w:tcPr>
            <w:tcW w:w="1276" w:type="dxa"/>
          </w:tcPr>
          <w:p w14:paraId="3E7206E9" w14:textId="318318FA"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ด้านความรับผิดชอบปลายทาง</w:t>
            </w:r>
          </w:p>
        </w:tc>
        <w:tc>
          <w:tcPr>
            <w:tcW w:w="3119" w:type="dxa"/>
          </w:tcPr>
          <w:p w14:paraId="377FF7F4" w14:textId="0D61F841"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ผลักดันพันธะรับคืนซากผลิตภัณฑ์ของผู้ผลิต และเชื่อมผู้เก็บรวบรวมรายย่อยเข้าระบบ</w:t>
            </w:r>
          </w:p>
        </w:tc>
        <w:tc>
          <w:tcPr>
            <w:tcW w:w="2551" w:type="dxa"/>
          </w:tcPr>
          <w:p w14:paraId="43582747" w14:textId="027D8965"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กระทรวงทรัพยากรธรรมชาติและสิ่งแวดล้อม</w:t>
            </w:r>
          </w:p>
        </w:tc>
        <w:tc>
          <w:tcPr>
            <w:tcW w:w="2080" w:type="dxa"/>
          </w:tcPr>
          <w:p w14:paraId="27E7AE41" w14:textId="250C8883"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สัดส่วนต้นทุนกำจัดที่ผู้ผลิตรับผิดชอบ</w:t>
            </w:r>
          </w:p>
        </w:tc>
      </w:tr>
      <w:tr w:rsidR="00A5191E" w:rsidRPr="002B1CD2" w14:paraId="76266D12" w14:textId="77777777" w:rsidTr="005A1345">
        <w:tc>
          <w:tcPr>
            <w:tcW w:w="1276" w:type="dxa"/>
          </w:tcPr>
          <w:p w14:paraId="3A2DC9D5" w14:textId="6CDDD27F"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ด้านพฤติกรรม</w:t>
            </w:r>
          </w:p>
        </w:tc>
        <w:tc>
          <w:tcPr>
            <w:tcW w:w="3119" w:type="dxa"/>
          </w:tcPr>
          <w:p w14:paraId="09A4C99F" w14:textId="14E138DE"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วางจุดรับทิ้งในเส้นทางที่ประชาชนผ่านอยู่แล้ว และกำหนดวันรับทิ้งประจำ</w:t>
            </w:r>
          </w:p>
        </w:tc>
        <w:tc>
          <w:tcPr>
            <w:tcW w:w="2551" w:type="dxa"/>
          </w:tcPr>
          <w:p w14:paraId="11D7990E" w14:textId="1F4F5153"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อปท</w:t>
            </w:r>
            <w:r w:rsidRPr="002B1CD2">
              <w:rPr>
                <w:rFonts w:ascii="TH SarabunPSK" w:hAnsi="TH SarabunPSK" w:cs="TH SarabunPSK"/>
                <w:sz w:val="28"/>
                <w:szCs w:val="28"/>
              </w:rPr>
              <w:t xml:space="preserve">.; </w:t>
            </w:r>
            <w:r w:rsidRPr="002B1CD2">
              <w:rPr>
                <w:rFonts w:ascii="TH SarabunPSK" w:hAnsi="TH SarabunPSK" w:cs="TH SarabunPSK"/>
                <w:sz w:val="28"/>
                <w:szCs w:val="28"/>
                <w:cs/>
              </w:rPr>
              <w:t>ชุมชน</w:t>
            </w:r>
          </w:p>
        </w:tc>
        <w:tc>
          <w:tcPr>
            <w:tcW w:w="2080" w:type="dxa"/>
          </w:tcPr>
          <w:p w14:paraId="17175BB8" w14:textId="40EFAB3A" w:rsidR="005A1345" w:rsidRPr="002B1CD2" w:rsidRDefault="005A1345" w:rsidP="005A1345">
            <w:pPr>
              <w:tabs>
                <w:tab w:val="left" w:pos="720"/>
                <w:tab w:val="left" w:pos="1009"/>
              </w:tabs>
              <w:jc w:val="center"/>
              <w:rPr>
                <w:rFonts w:ascii="TH SarabunPSK" w:hAnsi="TH SarabunPSK" w:cs="TH SarabunPSK"/>
                <w:sz w:val="28"/>
                <w:szCs w:val="28"/>
              </w:rPr>
            </w:pPr>
            <w:r w:rsidRPr="002B1CD2">
              <w:rPr>
                <w:rFonts w:ascii="TH SarabunPSK" w:hAnsi="TH SarabunPSK" w:cs="TH SarabunPSK"/>
                <w:sz w:val="28"/>
                <w:szCs w:val="28"/>
                <w:cs/>
              </w:rPr>
              <w:t>ร้อยละของครัวเรือนที่ทราบจุดรับทิ้ง</w:t>
            </w:r>
          </w:p>
        </w:tc>
      </w:tr>
    </w:tbl>
    <w:p w14:paraId="3EC1D89F" w14:textId="728AB59F" w:rsidR="00AE3161" w:rsidRPr="002B1CD2" w:rsidRDefault="002A0C23" w:rsidP="00A315CC">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cs/>
        </w:rPr>
        <w:t>ที่มา: ผู้เขียนสังเคราะห์</w:t>
      </w:r>
    </w:p>
    <w:p w14:paraId="4F230846" w14:textId="77777777" w:rsidR="002A0C23" w:rsidRPr="002B1CD2" w:rsidRDefault="002A0C23" w:rsidP="00A315CC">
      <w:pPr>
        <w:tabs>
          <w:tab w:val="left" w:pos="720"/>
          <w:tab w:val="left" w:pos="1009"/>
        </w:tabs>
        <w:jc w:val="thaiDistribute"/>
        <w:rPr>
          <w:rFonts w:ascii="TH SarabunPSK" w:hAnsi="TH SarabunPSK" w:cs="TH SarabunPSK"/>
          <w:sz w:val="28"/>
          <w:szCs w:val="28"/>
        </w:rPr>
      </w:pPr>
    </w:p>
    <w:p w14:paraId="62DC151B" w14:textId="3B071398" w:rsidR="002A0C23"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ข้อเสนอทั้งสี่กลุ่มเรียงตามลำดับเหตุปัจจัย โดยการปรับตัวชี้วัดเป็นเงื่อนไขนำ เพราะหากไม่แก้ตัวชี้วัด มาตรการที่เหลือจะไม่ถูกให้ความสำคัญในทางปฏิบัติ เนื่องจากไม่ปรากฏในผลการประเมินของหน่วยงาน ขณะที่การรวมกลุ่มระดับจังหวัดเป็นทางออกระยะกลาง และการโอนความรับผิดชอบไปยังผู้ผลิตเป็นทางออกระยะยาว ที่แก้ที่สาเหตุอย่างแท้จริง</w:t>
      </w:r>
    </w:p>
    <w:p w14:paraId="72E0C159" w14:textId="77777777" w:rsidR="00AE3161" w:rsidRPr="002B1CD2" w:rsidRDefault="00AE3161" w:rsidP="00A315CC">
      <w:pPr>
        <w:tabs>
          <w:tab w:val="left" w:pos="720"/>
          <w:tab w:val="left" w:pos="1009"/>
        </w:tabs>
        <w:jc w:val="thaiDistribute"/>
        <w:rPr>
          <w:rFonts w:ascii="TH SarabunPSK" w:hAnsi="TH SarabunPSK" w:cs="TH SarabunPSK"/>
          <w:sz w:val="28"/>
          <w:szCs w:val="28"/>
        </w:rPr>
      </w:pPr>
    </w:p>
    <w:p w14:paraId="0FB4BD82" w14:textId="0D12D498" w:rsidR="003639B8" w:rsidRPr="002B1CD2" w:rsidRDefault="00D15589" w:rsidP="003639B8">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cs/>
        </w:rPr>
        <w:t>องค์ความรู้ใหม่</w:t>
      </w:r>
    </w:p>
    <w:p w14:paraId="62A395B9" w14:textId="77777777" w:rsidR="007512AD" w:rsidRPr="002B1CD2" w:rsidRDefault="00A315CC"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007512AD" w:rsidRPr="002B1CD2">
        <w:rPr>
          <w:rFonts w:ascii="TH SarabunPSK" w:hAnsi="TH SarabunPSK" w:cs="TH SarabunPSK"/>
          <w:sz w:val="28"/>
          <w:szCs w:val="28"/>
          <w:cs/>
        </w:rPr>
        <w:t>บทความนี้เสนอองค์ความรู้ใหม่สองประการ ประการแรกคือมโนทัศน์ “กับดักตัวชี้วัดเชิงน้ำหนัก” ซึ่งอธิบายว่าเมื่อระบบประเมินผลการจัดการขยะใช้หน่วยน้ำหนักเป็นฐานเดียว ขยะที่มีปริมาณน้อยแต่ความเสี่ยงสูง จะถูกละเลยอย่างเป็นระบบ มิใช่เพราะผู้ปฏิบัติขาดความรู้หรือความรับผิดชอบ แต่เพราะการละเลยนั้นเป็นการตัดสินใจ ที่มีเหตุผลภายใต้กติกาการประเมินที่ระบบกำหนดไว้เอง มโนทัศน์นี้มีนัยกว้างกว่ากรณีขยะ เพราะชี้ให้เห็นหลักการทั่วไป ว่าตัวชี้วัดที่ใช้หน่วยวัดเดียวจะสร้างจุดบอดในภารกิจที่มีลักษณะแตกต่างจากภารกิจกระแสหลักเสมอ ทางแก้เชิงหลักการคือการใช้ตัวชี้วัดถ่วงน้ำหนักด้วยความเสี่ยง แทนการใช้ตัวชี้วัดเชิงปริมาณล้วน</w:t>
      </w:r>
    </w:p>
    <w:p w14:paraId="38B3D7B6" w14:textId="01CF841E"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ประการที่สองคือ “โมเดล 3</w:t>
      </w:r>
      <w:r w:rsidRPr="002B1CD2">
        <w:rPr>
          <w:rFonts w:ascii="TH SarabunPSK" w:hAnsi="TH SarabunPSK" w:cs="TH SarabunPSK"/>
          <w:sz w:val="28"/>
          <w:szCs w:val="28"/>
        </w:rPr>
        <w:t xml:space="preserve">S </w:t>
      </w:r>
      <w:r w:rsidRPr="002B1CD2">
        <w:rPr>
          <w:rFonts w:ascii="TH SarabunPSK" w:hAnsi="TH SarabunPSK" w:cs="TH SarabunPSK"/>
          <w:sz w:val="28"/>
          <w:szCs w:val="28"/>
          <w:cs/>
        </w:rPr>
        <w:t>สำหรับการจัดการของเสียอันตรายจากชุมชน” ซึ่งประกอบด้วยองค์ประกอบสามประการ ที่ต้องดำเนินการตามลำดับ ดังนี้</w:t>
      </w:r>
    </w:p>
    <w:p w14:paraId="66674478" w14:textId="789910CF"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t xml:space="preserve">S </w:t>
      </w:r>
      <w:r w:rsidRPr="002B1CD2">
        <w:rPr>
          <w:rFonts w:ascii="TH SarabunPSK" w:hAnsi="TH SarabunPSK" w:cs="TH SarabunPSK"/>
          <w:sz w:val="28"/>
          <w:szCs w:val="28"/>
          <w:cs/>
        </w:rPr>
        <w:t xml:space="preserve">ที่หนึ่ง </w:t>
      </w:r>
      <w:r w:rsidRPr="002B1CD2">
        <w:rPr>
          <w:rFonts w:ascii="TH SarabunPSK" w:hAnsi="TH SarabunPSK" w:cs="TH SarabunPSK"/>
          <w:sz w:val="28"/>
          <w:szCs w:val="28"/>
        </w:rPr>
        <w:t xml:space="preserve">Separate </w:t>
      </w:r>
      <w:r w:rsidRPr="002B1CD2">
        <w:rPr>
          <w:rFonts w:ascii="TH SarabunPSK" w:hAnsi="TH SarabunPSK" w:cs="TH SarabunPSK"/>
          <w:sz w:val="28"/>
          <w:szCs w:val="28"/>
          <w:cs/>
        </w:rPr>
        <w:t>การคัดแยกที่ต้นทางที่ออกแบบให้สอดคล้องกับความถี่ในการทิ้งที่ต่ำ โดยเน้นความสะดวกของจุดรับทิ้งมากกว่าการรณรงค์ให้จดจำวิธีปฏิบัติ</w:t>
      </w:r>
    </w:p>
    <w:p w14:paraId="22BAAA41" w14:textId="24265E58"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t xml:space="preserve">S </w:t>
      </w:r>
      <w:r w:rsidRPr="002B1CD2">
        <w:rPr>
          <w:rFonts w:ascii="TH SarabunPSK" w:hAnsi="TH SarabunPSK" w:cs="TH SarabunPSK"/>
          <w:sz w:val="28"/>
          <w:szCs w:val="28"/>
          <w:cs/>
        </w:rPr>
        <w:t xml:space="preserve">ที่สอง </w:t>
      </w:r>
      <w:r w:rsidRPr="002B1CD2">
        <w:rPr>
          <w:rFonts w:ascii="TH SarabunPSK" w:hAnsi="TH SarabunPSK" w:cs="TH SarabunPSK"/>
          <w:sz w:val="28"/>
          <w:szCs w:val="28"/>
        </w:rPr>
        <w:t xml:space="preserve">Scale </w:t>
      </w:r>
      <w:r w:rsidRPr="002B1CD2">
        <w:rPr>
          <w:rFonts w:ascii="TH SarabunPSK" w:hAnsi="TH SarabunPSK" w:cs="TH SarabunPSK"/>
          <w:sz w:val="28"/>
          <w:szCs w:val="28"/>
          <w:cs/>
        </w:rPr>
        <w:t>การสร้างขนาดด้วยการรวมกลุ่มระดับจังหวัด เพื่อเปลี่ยนต้นทุนคงที่ของระบบให้กลายเป็นต้นทุนผันแปรที่ อปท. ขนาดเล็กรับได้</w:t>
      </w:r>
    </w:p>
    <w:p w14:paraId="6E224059" w14:textId="28B7C5A8"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t xml:space="preserve">S </w:t>
      </w:r>
      <w:r w:rsidRPr="002B1CD2">
        <w:rPr>
          <w:rFonts w:ascii="TH SarabunPSK" w:hAnsi="TH SarabunPSK" w:cs="TH SarabunPSK"/>
          <w:sz w:val="28"/>
          <w:szCs w:val="28"/>
          <w:cs/>
        </w:rPr>
        <w:t xml:space="preserve">ที่สาม </w:t>
      </w:r>
      <w:r w:rsidRPr="002B1CD2">
        <w:rPr>
          <w:rFonts w:ascii="TH SarabunPSK" w:hAnsi="TH SarabunPSK" w:cs="TH SarabunPSK"/>
          <w:sz w:val="28"/>
          <w:szCs w:val="28"/>
        </w:rPr>
        <w:t xml:space="preserve">Shift </w:t>
      </w:r>
      <w:r w:rsidRPr="002B1CD2">
        <w:rPr>
          <w:rFonts w:ascii="TH SarabunPSK" w:hAnsi="TH SarabunPSK" w:cs="TH SarabunPSK"/>
          <w:sz w:val="28"/>
          <w:szCs w:val="28"/>
          <w:cs/>
        </w:rPr>
        <w:t>การโอนความรับผิดชอบกลับไปยังต้นทางด้วยพันธะรับคืนซากผลิตภัณฑ์ของผู้ผลิต พร้อมเชื่อมผู้เก็บรวบรวมรายย่อยที่มีอยู่แล้วเข้าสู่ระบบที่เป็นทางการ</w:t>
      </w:r>
    </w:p>
    <w:p w14:paraId="39DD2E0E" w14:textId="51286BBD" w:rsidR="00A315CC"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จุดที่โมเดล 3</w:t>
      </w:r>
      <w:r w:rsidRPr="002B1CD2">
        <w:rPr>
          <w:rFonts w:ascii="TH SarabunPSK" w:hAnsi="TH SarabunPSK" w:cs="TH SarabunPSK"/>
          <w:sz w:val="28"/>
          <w:szCs w:val="28"/>
        </w:rPr>
        <w:t xml:space="preserve">S </w:t>
      </w:r>
      <w:r w:rsidRPr="002B1CD2">
        <w:rPr>
          <w:rFonts w:ascii="TH SarabunPSK" w:hAnsi="TH SarabunPSK" w:cs="TH SarabunPSK"/>
          <w:sz w:val="28"/>
          <w:szCs w:val="28"/>
          <w:cs/>
        </w:rPr>
        <w:t>ต่างจากข้อเสนอทั่วไปในวรรณกรรมไทยมีสองประการ ประการแรก โมเดลนี้ปฏิเสธการนำหลักการ 3</w:t>
      </w:r>
      <w:r w:rsidRPr="002B1CD2">
        <w:rPr>
          <w:rFonts w:ascii="TH SarabunPSK" w:hAnsi="TH SarabunPSK" w:cs="TH SarabunPSK"/>
          <w:sz w:val="28"/>
          <w:szCs w:val="28"/>
        </w:rPr>
        <w:t xml:space="preserve">R </w:t>
      </w:r>
      <w:r w:rsidRPr="002B1CD2">
        <w:rPr>
          <w:rFonts w:ascii="TH SarabunPSK" w:hAnsi="TH SarabunPSK" w:cs="TH SarabunPSK"/>
          <w:sz w:val="28"/>
          <w:szCs w:val="28"/>
          <w:cs/>
        </w:rPr>
        <w:t>มาใช้กับขยะกระแสนี้โดยตรง เพราะ 3</w:t>
      </w:r>
      <w:r w:rsidRPr="002B1CD2">
        <w:rPr>
          <w:rFonts w:ascii="TH SarabunPSK" w:hAnsi="TH SarabunPSK" w:cs="TH SarabunPSK"/>
          <w:sz w:val="28"/>
          <w:szCs w:val="28"/>
        </w:rPr>
        <w:t xml:space="preserve">R </w:t>
      </w:r>
      <w:r w:rsidRPr="002B1CD2">
        <w:rPr>
          <w:rFonts w:ascii="TH SarabunPSK" w:hAnsi="TH SarabunPSK" w:cs="TH SarabunPSK"/>
          <w:sz w:val="28"/>
          <w:szCs w:val="28"/>
          <w:cs/>
        </w:rPr>
        <w:t>ตั้งอยู่บนสมมติฐานว่าผู้ทิ้งมีแรงจูงใจทางเศรษฐกิจและมีความถี่ในการทิ้งสูง ซึ่งเป็นสมมติฐานที่ไม่เป็นจริงสำหรับของเสียอันตราย ประการที่สอง โมเดลนี้ระบุลำดับเหตุปัจจัยไว้ชัดเจน โดยเสนอว่าการปรับตัวชี้วัดต้องมาก่อนทุกองค์ประกอบ เพราะเป็นเงื่อนไขที่ทำให้ทั้งสามองค์ประกอบมีแรงจูงใจรองรับ ข้อเสนอนี้แปลงเป็นสมมติฐานที่ทดสอบได้ว่า อปท. ที่ถูกประเมินด้วยตัวชี้วัดเฉพาะสำหรับของเสียอันตราย จะมีปริมาณการรวบรวมและส่งกำจัดอย่างถูกหลักวิชาการสูงกว่า อปท. ที่มีระดับทรัพยากรใกล้เคียงกัน แต่ถูกประเมินด้วยตัวชี้วัดรวมเชิงน้ำหนักเพียงอย่างเดียว</w:t>
      </w:r>
    </w:p>
    <w:p w14:paraId="2C6DDFBA" w14:textId="77777777" w:rsidR="003639B8" w:rsidRPr="002B1CD2" w:rsidRDefault="003639B8" w:rsidP="003639B8">
      <w:pPr>
        <w:tabs>
          <w:tab w:val="left" w:pos="720"/>
          <w:tab w:val="left" w:pos="1009"/>
        </w:tabs>
        <w:jc w:val="thaiDistribute"/>
        <w:rPr>
          <w:rFonts w:ascii="TH SarabunPSK" w:hAnsi="TH SarabunPSK" w:cs="TH SarabunPSK"/>
          <w:sz w:val="28"/>
          <w:szCs w:val="28"/>
        </w:rPr>
      </w:pPr>
    </w:p>
    <w:p w14:paraId="474702FB" w14:textId="0F7562A5" w:rsidR="003639B8" w:rsidRPr="002B1CD2" w:rsidRDefault="00D15589" w:rsidP="003639B8">
      <w:pPr>
        <w:tabs>
          <w:tab w:val="left" w:pos="720"/>
          <w:tab w:val="left" w:pos="1009"/>
        </w:tabs>
        <w:jc w:val="thaiDistribute"/>
        <w:rPr>
          <w:rFonts w:ascii="TH SarabunPSK" w:hAnsi="TH SarabunPSK" w:cs="TH SarabunPSK"/>
          <w:b/>
          <w:bCs/>
          <w:sz w:val="28"/>
          <w:szCs w:val="28"/>
        </w:rPr>
      </w:pPr>
      <w:r w:rsidRPr="002B1CD2">
        <w:rPr>
          <w:rFonts w:ascii="TH SarabunPSK" w:hAnsi="TH SarabunPSK" w:cs="TH SarabunPSK"/>
          <w:b/>
          <w:bCs/>
          <w:sz w:val="28"/>
          <w:szCs w:val="28"/>
          <w:cs/>
        </w:rPr>
        <w:t>บทสรุป</w:t>
      </w:r>
    </w:p>
    <w:p w14:paraId="38F640BF" w14:textId="77777777" w:rsidR="007512AD" w:rsidRPr="002B1CD2" w:rsidRDefault="00B62CE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cs/>
        </w:rPr>
        <w:tab/>
      </w:r>
      <w:r w:rsidR="007512AD" w:rsidRPr="002B1CD2">
        <w:rPr>
          <w:rFonts w:ascii="TH SarabunPSK" w:hAnsi="TH SarabunPSK" w:cs="TH SarabunPSK"/>
          <w:sz w:val="28"/>
          <w:szCs w:val="28"/>
          <w:cs/>
        </w:rPr>
        <w:t>บทความวิชาการนี้วิเคราะห์การจัดการของเสียอันตรายจากชุมชนในบริบทของประเทศไทย โดยตั้งต้นจากข้อเท็จจริงว่า ในปี พ.ศ. 2567 ประเทศไทยมีของเสียอันตรายจากชุมชนเกิดขึ้น 685,999 ตัน ซึ่งเป็นซากผลิตภัณฑ์เครื่องใช้ไฟฟ้า และอุปกรณ์อิเล็กทรอนิกส์ราวร้อยละ 65 คิดเป็นสัดส่วนเพียงราวร้อยละสองจุดห้าของขยะมูลฝอยทั้งหมด และผลการสำรวจองค์ประกอบขยะ ณ สถานที่กำจัดยืนยันว่าขยะกระแสนี้ยังคงถูกทิ้งปะปนมากับขยะทั่วไป</w:t>
      </w:r>
    </w:p>
    <w:p w14:paraId="5A1EB447" w14:textId="7392B7E7"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ข้อค้นพบหลักคือ การถูกละเลยของขยะกระแสนี้เป็นผลเชิงโครงสร้างของการออกแบบสถาบัน มิใช่ความบกพร่องของผู้ปฏิบัติ โดยมีช่องว่างสามประการที่เสริมแรงกัน ได้แก่ ช่องว่างด้านแรงจูงใจที่เกิดจากตัวชี้วัดเชิงน้ำหนัก ช่องว่างด้านขนาดที่ทำให้การลงทุนในระดับ อปท. เดี่ยวไม่คุ้มค่า และช่องว่างด้านความรับผิดชอบปลายทาง ที่ผู้ผลิตไม่มีพันธะตามกฎหมายในการรับคืนซากผลิตภัณฑ์</w:t>
      </w:r>
    </w:p>
    <w:p w14:paraId="66F70047" w14:textId="03383324" w:rsidR="007512AD"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lastRenderedPageBreak/>
        <w:tab/>
      </w:r>
      <w:r w:rsidRPr="002B1CD2">
        <w:rPr>
          <w:rFonts w:ascii="TH SarabunPSK" w:hAnsi="TH SarabunPSK" w:cs="TH SarabunPSK"/>
          <w:sz w:val="28"/>
          <w:szCs w:val="28"/>
          <w:cs/>
        </w:rPr>
        <w:t>ข้อเสนอแนะเชิงนโยบายมีสี่ประการตามลำดับความสำคัญ คือ แยกตัวชี้วัดสำหรับของเสียอันตรายจากชุมชนออกจาก ตัวชี้วัดรวมเชิงน้ำหนักเป็นลำดับแรก จัดตั้งศูนย์รวบรวมระดับจังหวัดพร้อมกลไกแบ่งต้นทุนที่โปร่งใสเป็นลำดับที่สอง ผลักดันพันธะรับคืนซากผลิตภัณฑ์ของผู้ผลิตพร้อมเชื่อมผู้เก็บรวบรวมรายย่อยเข้าสู่ระบบเป็นลำดับที่สาม และออกแบบจุดรับทิ้งให้อยู่ในเส้นทางที่ประชาชนผ่านอยู่แล้วเป็นลำดับที่สี่ โดยมีโมเดล 3</w:t>
      </w:r>
      <w:r w:rsidRPr="002B1CD2">
        <w:rPr>
          <w:rFonts w:ascii="TH SarabunPSK" w:hAnsi="TH SarabunPSK" w:cs="TH SarabunPSK"/>
          <w:sz w:val="28"/>
          <w:szCs w:val="28"/>
        </w:rPr>
        <w:t xml:space="preserve">S </w:t>
      </w:r>
      <w:r w:rsidRPr="002B1CD2">
        <w:rPr>
          <w:rFonts w:ascii="TH SarabunPSK" w:hAnsi="TH SarabunPSK" w:cs="TH SarabunPSK"/>
          <w:sz w:val="28"/>
          <w:szCs w:val="28"/>
          <w:cs/>
        </w:rPr>
        <w:t>เป็นกรอบบูรณาการ</w:t>
      </w:r>
    </w:p>
    <w:p w14:paraId="7C24029D" w14:textId="42A4839B" w:rsidR="00E07604" w:rsidRPr="002B1CD2" w:rsidRDefault="007512AD" w:rsidP="007512AD">
      <w:pPr>
        <w:tabs>
          <w:tab w:val="left" w:pos="720"/>
          <w:tab w:val="left" w:pos="1009"/>
        </w:tabs>
        <w:jc w:val="thaiDistribute"/>
        <w:rPr>
          <w:rFonts w:ascii="TH SarabunPSK" w:hAnsi="TH SarabunPSK" w:cs="TH SarabunPSK"/>
          <w:sz w:val="28"/>
          <w:szCs w:val="28"/>
        </w:rPr>
      </w:pPr>
      <w:r w:rsidRPr="002B1CD2">
        <w:rPr>
          <w:rFonts w:ascii="TH SarabunPSK" w:hAnsi="TH SarabunPSK" w:cs="TH SarabunPSK"/>
          <w:sz w:val="28"/>
          <w:szCs w:val="28"/>
        </w:rPr>
        <w:tab/>
      </w:r>
      <w:r w:rsidRPr="002B1CD2">
        <w:rPr>
          <w:rFonts w:ascii="TH SarabunPSK" w:hAnsi="TH SarabunPSK" w:cs="TH SarabunPSK"/>
          <w:sz w:val="28"/>
          <w:szCs w:val="28"/>
          <w:cs/>
        </w:rPr>
        <w:t xml:space="preserve">ข้อจำกัดของบทความนี้คือการอาศัยข้อมูลทุติยภูมิระดับประเทศเป็นหลัก จึงยังไม่มีข้อมูลเชิงประจักษ์ระดับพื้นที่ </w:t>
      </w:r>
      <w:r w:rsidRPr="002B1CD2">
        <w:rPr>
          <w:rFonts w:ascii="TH SarabunPSK" w:hAnsi="TH SarabunPSK" w:cs="TH SarabunPSK"/>
          <w:sz w:val="28"/>
          <w:szCs w:val="28"/>
        </w:rPr>
        <w:t xml:space="preserve">  </w:t>
      </w:r>
      <w:r w:rsidRPr="002B1CD2">
        <w:rPr>
          <w:rFonts w:ascii="TH SarabunPSK" w:hAnsi="TH SarabunPSK" w:cs="TH SarabunPSK"/>
          <w:sz w:val="28"/>
          <w:szCs w:val="28"/>
          <w:cs/>
        </w:rPr>
        <w:t xml:space="preserve">ที่แสดงว่าปริมาณของเสียอันตรายที่เกิดขึ้นจริงในแต่ละ อปท. เป็นเท่าใด งานวิจัยในระยะต่อไปจึงควรสำรวจปริมาณ </w:t>
      </w:r>
      <w:r w:rsidRPr="002B1CD2">
        <w:rPr>
          <w:rFonts w:ascii="TH SarabunPSK" w:hAnsi="TH SarabunPSK" w:cs="TH SarabunPSK"/>
          <w:sz w:val="28"/>
          <w:szCs w:val="28"/>
        </w:rPr>
        <w:t xml:space="preserve">      </w:t>
      </w:r>
      <w:r w:rsidRPr="002B1CD2">
        <w:rPr>
          <w:rFonts w:ascii="TH SarabunPSK" w:hAnsi="TH SarabunPSK" w:cs="TH SarabunPSK"/>
          <w:sz w:val="28"/>
          <w:szCs w:val="28"/>
          <w:cs/>
        </w:rPr>
        <w:t xml:space="preserve">และเส้นทางการไหลของของเสียอันตรายในระดับจังหวัด และทดสอบสมมติฐานว่าการมีตัวชี้วัดเฉพาะส่งผลต่อพฤติกรรม </w:t>
      </w:r>
      <w:r w:rsidRPr="002B1CD2">
        <w:rPr>
          <w:rFonts w:ascii="TH SarabunPSK" w:hAnsi="TH SarabunPSK" w:cs="TH SarabunPSK"/>
          <w:sz w:val="28"/>
          <w:szCs w:val="28"/>
        </w:rPr>
        <w:t xml:space="preserve">  </w:t>
      </w:r>
      <w:r w:rsidRPr="002B1CD2">
        <w:rPr>
          <w:rFonts w:ascii="TH SarabunPSK" w:hAnsi="TH SarabunPSK" w:cs="TH SarabunPSK"/>
          <w:sz w:val="28"/>
          <w:szCs w:val="28"/>
          <w:cs/>
        </w:rPr>
        <w:t>การลงทุนของ อปท. หรือไม่ ข้อสรุปโดยรวมของบทความนี้คือ ตราบใดที่ระบบยังวัดความสำเร็จด้วยน้ำหนักเพียงอย่างเดียว ขยะที่เบาแต่อันตรายที่สุดจะยังคงเป็นขยะที่ไม่มีใครเป็นเจ้าของต่อไป</w:t>
      </w:r>
    </w:p>
    <w:p w14:paraId="62682E63" w14:textId="77777777" w:rsidR="00A425A9" w:rsidRPr="002B1CD2" w:rsidRDefault="00A425A9" w:rsidP="00F25DAF">
      <w:pPr>
        <w:tabs>
          <w:tab w:val="left" w:pos="720"/>
          <w:tab w:val="left" w:pos="1009"/>
        </w:tabs>
        <w:jc w:val="thaiDistribute"/>
        <w:rPr>
          <w:rFonts w:ascii="TH SarabunPSK" w:hAnsi="TH SarabunPSK" w:cs="TH SarabunPSK"/>
          <w:sz w:val="28"/>
          <w:szCs w:val="28"/>
        </w:rPr>
      </w:pPr>
    </w:p>
    <w:p w14:paraId="1E492DF0" w14:textId="3FABD910" w:rsidR="00B25BFC" w:rsidRPr="002B1CD2" w:rsidRDefault="00E07604" w:rsidP="00E915BE">
      <w:pPr>
        <w:tabs>
          <w:tab w:val="left" w:pos="720"/>
        </w:tabs>
        <w:spacing w:after="240"/>
        <w:jc w:val="center"/>
        <w:rPr>
          <w:rFonts w:ascii="TH SarabunPSK" w:hAnsi="TH SarabunPSK" w:cs="TH SarabunPSK"/>
          <w:b/>
          <w:bCs/>
          <w:sz w:val="28"/>
          <w:szCs w:val="28"/>
        </w:rPr>
      </w:pPr>
      <w:r w:rsidRPr="002B1CD2">
        <w:rPr>
          <w:rFonts w:ascii="TH SarabunPSK" w:hAnsi="TH SarabunPSK" w:cs="TH SarabunPSK"/>
          <w:b/>
          <w:bCs/>
          <w:sz w:val="28"/>
          <w:szCs w:val="28"/>
          <w:cs/>
        </w:rPr>
        <w:t>เอกสารอ้างอิง</w:t>
      </w:r>
    </w:p>
    <w:p w14:paraId="7288DB68"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กรมควบคุมมลพิษ</w:t>
      </w:r>
      <w:r w:rsidRPr="002B1CD2">
        <w:rPr>
          <w:rFonts w:ascii="TH SarabunPSK" w:hAnsi="TH SarabunPSK" w:cs="TH SarabunPSK" w:hint="cs"/>
          <w:sz w:val="28"/>
          <w:szCs w:val="28"/>
        </w:rPr>
        <w:t xml:space="preserve">. (2567). </w:t>
      </w:r>
      <w:r w:rsidRPr="002B1CD2">
        <w:rPr>
          <w:rFonts w:ascii="TH SarabunPSK" w:hAnsi="TH SarabunPSK" w:cs="TH SarabunPSK" w:hint="cs"/>
          <w:i/>
          <w:iCs/>
          <w:sz w:val="28"/>
          <w:szCs w:val="28"/>
          <w:cs/>
        </w:rPr>
        <w:t>คู่มือปฏิบัติงานด้านการจัดการของเสียอันตรายจากชุมชนสำหรับองค์กรปกครองส่วนท้องถิ่น</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กรุงเทพฯ</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กองจัดการกากของเสียและสารอันตราย กรมควบคุมมลพิษ</w:t>
      </w:r>
      <w:r w:rsidRPr="002B1CD2">
        <w:rPr>
          <w:rFonts w:ascii="TH SarabunPSK" w:hAnsi="TH SarabunPSK" w:cs="TH SarabunPSK" w:hint="cs"/>
          <w:sz w:val="28"/>
          <w:szCs w:val="28"/>
        </w:rPr>
        <w:t>.</w:t>
      </w:r>
    </w:p>
    <w:p w14:paraId="07561481"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กรมควบคุมมลพิษ</w:t>
      </w:r>
      <w:r w:rsidRPr="002B1CD2">
        <w:rPr>
          <w:rFonts w:ascii="TH SarabunPSK" w:hAnsi="TH SarabunPSK" w:cs="TH SarabunPSK" w:hint="cs"/>
          <w:sz w:val="28"/>
          <w:szCs w:val="28"/>
        </w:rPr>
        <w:t xml:space="preserve">. (2567). </w:t>
      </w:r>
      <w:r w:rsidRPr="002B1CD2">
        <w:rPr>
          <w:rFonts w:ascii="TH SarabunPSK" w:hAnsi="TH SarabunPSK" w:cs="TH SarabunPSK" w:hint="cs"/>
          <w:i/>
          <w:iCs/>
          <w:sz w:val="28"/>
          <w:szCs w:val="28"/>
          <w:cs/>
        </w:rPr>
        <w:t>รายงานสถานการณ์สถานที่กำจัดขยะมูลฝอยชุมชนของประเทศไทย ปี พ</w:t>
      </w:r>
      <w:r w:rsidRPr="002B1CD2">
        <w:rPr>
          <w:rFonts w:ascii="TH SarabunPSK" w:hAnsi="TH SarabunPSK" w:cs="TH SarabunPSK" w:hint="cs"/>
          <w:i/>
          <w:iCs/>
          <w:sz w:val="28"/>
          <w:szCs w:val="28"/>
        </w:rPr>
        <w:t>.</w:t>
      </w:r>
      <w:r w:rsidRPr="002B1CD2">
        <w:rPr>
          <w:rFonts w:ascii="TH SarabunPSK" w:hAnsi="TH SarabunPSK" w:cs="TH SarabunPSK" w:hint="cs"/>
          <w:i/>
          <w:iCs/>
          <w:sz w:val="28"/>
          <w:szCs w:val="28"/>
          <w:cs/>
        </w:rPr>
        <w:t>ศ</w:t>
      </w:r>
      <w:r w:rsidRPr="002B1CD2">
        <w:rPr>
          <w:rFonts w:ascii="TH SarabunPSK" w:hAnsi="TH SarabunPSK" w:cs="TH SarabunPSK" w:hint="cs"/>
          <w:i/>
          <w:iCs/>
          <w:sz w:val="28"/>
          <w:szCs w:val="28"/>
        </w:rPr>
        <w:t>. 2567</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กรุงเทพฯ</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กองจัดการกากของเสียและสารอันตราย กรมควบคุมมลพิษ</w:t>
      </w:r>
      <w:r w:rsidRPr="002B1CD2">
        <w:rPr>
          <w:rFonts w:ascii="TH SarabunPSK" w:hAnsi="TH SarabunPSK" w:cs="TH SarabunPSK" w:hint="cs"/>
          <w:sz w:val="28"/>
          <w:szCs w:val="28"/>
        </w:rPr>
        <w:t>.</w:t>
      </w:r>
    </w:p>
    <w:p w14:paraId="0C5D45C0"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กรมควบคุมมลพิษ</w:t>
      </w:r>
      <w:r w:rsidRPr="002B1CD2">
        <w:rPr>
          <w:rFonts w:ascii="TH SarabunPSK" w:hAnsi="TH SarabunPSK" w:cs="TH SarabunPSK" w:hint="cs"/>
          <w:sz w:val="28"/>
          <w:szCs w:val="28"/>
        </w:rPr>
        <w:t xml:space="preserve">. (2568). </w:t>
      </w:r>
      <w:r w:rsidRPr="002B1CD2">
        <w:rPr>
          <w:rFonts w:ascii="TH SarabunPSK" w:hAnsi="TH SarabunPSK" w:cs="TH SarabunPSK" w:hint="cs"/>
          <w:i/>
          <w:iCs/>
          <w:sz w:val="28"/>
          <w:szCs w:val="28"/>
          <w:cs/>
        </w:rPr>
        <w:t xml:space="preserve">รายงานสถานการณ์มลพิษของประเทศไทย ปี </w:t>
      </w:r>
      <w:r w:rsidRPr="002B1CD2">
        <w:rPr>
          <w:rFonts w:ascii="TH SarabunPSK" w:hAnsi="TH SarabunPSK" w:cs="TH SarabunPSK" w:hint="cs"/>
          <w:i/>
          <w:iCs/>
          <w:sz w:val="28"/>
          <w:szCs w:val="28"/>
        </w:rPr>
        <w:t>2567</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กรุงเทพฯ</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กรมควบคุมมลพิษ</w:t>
      </w:r>
      <w:r w:rsidRPr="002B1CD2">
        <w:rPr>
          <w:rFonts w:ascii="TH SarabunPSK" w:hAnsi="TH SarabunPSK" w:cs="TH SarabunPSK" w:hint="cs"/>
          <w:sz w:val="28"/>
          <w:szCs w:val="28"/>
        </w:rPr>
        <w:t>.</w:t>
      </w:r>
    </w:p>
    <w:p w14:paraId="714982A8"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ญาสุมินทร์ รักไธสง และปานปั้น รองหานาม</w:t>
      </w:r>
      <w:r w:rsidRPr="002B1CD2">
        <w:rPr>
          <w:rFonts w:ascii="TH SarabunPSK" w:hAnsi="TH SarabunPSK" w:cs="TH SarabunPSK" w:hint="cs"/>
          <w:sz w:val="28"/>
          <w:szCs w:val="28"/>
        </w:rPr>
        <w:t xml:space="preserve">. (2568). </w:t>
      </w:r>
      <w:r w:rsidRPr="002B1CD2">
        <w:rPr>
          <w:rFonts w:ascii="TH SarabunPSK" w:hAnsi="TH SarabunPSK" w:cs="TH SarabunPSK" w:hint="cs"/>
          <w:sz w:val="28"/>
          <w:szCs w:val="28"/>
          <w:cs/>
        </w:rPr>
        <w:t>แนวทางการบริหารจัดการขยะของชุมชนต้นแบบบ้านวังโพน ตำบลเขวาไร่ อำเภอโกสุมพิสัย จังหวัดมหาสารคาม</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วารสารมนุษยศาสตร์และสังคมศาสตร์ มมร วิทยาเขตอีสาน</w:t>
      </w:r>
      <w:r w:rsidRPr="002B1CD2">
        <w:rPr>
          <w:rFonts w:ascii="TH SarabunPSK" w:hAnsi="TH SarabunPSK" w:cs="TH SarabunPSK" w:hint="cs"/>
          <w:sz w:val="28"/>
          <w:szCs w:val="28"/>
        </w:rPr>
        <w:t xml:space="preserve">, 6(2), 1-12. </w:t>
      </w:r>
      <w:r w:rsidRPr="002B1CD2">
        <w:rPr>
          <w:rFonts w:ascii="TH SarabunPSK" w:hAnsi="TH SarabunPSK" w:cs="TH SarabunPSK" w:hint="cs"/>
          <w:sz w:val="28"/>
          <w:szCs w:val="28"/>
          <w:cs/>
        </w:rPr>
        <w:t xml:space="preserve">เข้าถึงจาก </w:t>
      </w:r>
      <w:r w:rsidRPr="002B1CD2">
        <w:rPr>
          <w:rFonts w:ascii="TH SarabunPSK" w:hAnsi="TH SarabunPSK" w:cs="TH SarabunPSK" w:hint="cs"/>
          <w:sz w:val="28"/>
          <w:szCs w:val="28"/>
        </w:rPr>
        <w:t>https://so06.tci-thaijo.org/index.php/jhsmbuisc</w:t>
      </w:r>
    </w:p>
    <w:p w14:paraId="2C2651CE"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นฤนาท ยืนยง และพิชชานาถ เงินดีเจริญ</w:t>
      </w:r>
      <w:r w:rsidRPr="002B1CD2">
        <w:rPr>
          <w:rFonts w:ascii="TH SarabunPSK" w:hAnsi="TH SarabunPSK" w:cs="TH SarabunPSK" w:hint="cs"/>
          <w:sz w:val="28"/>
          <w:szCs w:val="28"/>
        </w:rPr>
        <w:t xml:space="preserve">. (2565). </w:t>
      </w:r>
      <w:r w:rsidRPr="002B1CD2">
        <w:rPr>
          <w:rFonts w:ascii="TH SarabunPSK" w:hAnsi="TH SarabunPSK" w:cs="TH SarabunPSK" w:hint="cs"/>
          <w:sz w:val="28"/>
          <w:szCs w:val="28"/>
          <w:cs/>
        </w:rPr>
        <w:t>การมีส่วนร่วมของประชาชนในการจัดการขยะมูลฝอยของตำบลสำพะเนียง อำเภอโนนแดง จังหวัดนครราชสีมา</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วารสารวิชาการและวิจัย มหาวิทยาลัยภาคตะวันออกเฉียงเหนือ</w:t>
      </w:r>
      <w:r w:rsidRPr="002B1CD2">
        <w:rPr>
          <w:rFonts w:ascii="TH SarabunPSK" w:hAnsi="TH SarabunPSK" w:cs="TH SarabunPSK" w:hint="cs"/>
          <w:sz w:val="28"/>
          <w:szCs w:val="28"/>
        </w:rPr>
        <w:t>, 12(2), 279-297.</w:t>
      </w:r>
    </w:p>
    <w:p w14:paraId="551D1F88"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นิภาพรรณ เจนสันติกุล</w:t>
      </w:r>
      <w:r w:rsidRPr="002B1CD2">
        <w:rPr>
          <w:rFonts w:ascii="TH SarabunPSK" w:hAnsi="TH SarabunPSK" w:cs="TH SarabunPSK" w:hint="cs"/>
          <w:sz w:val="28"/>
          <w:szCs w:val="28"/>
        </w:rPr>
        <w:t xml:space="preserve">. (2565). </w:t>
      </w:r>
      <w:r w:rsidRPr="002B1CD2">
        <w:rPr>
          <w:rFonts w:ascii="TH SarabunPSK" w:hAnsi="TH SarabunPSK" w:cs="TH SarabunPSK" w:hint="cs"/>
          <w:sz w:val="28"/>
          <w:szCs w:val="28"/>
          <w:cs/>
        </w:rPr>
        <w:t>การบริหารจัดการขยะมูลฝอยขององค์กรปกครองส่วนท้องถิ่นในประเทศไทย</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วารสารสิ่งแวดล้อม</w:t>
      </w:r>
      <w:r w:rsidRPr="002B1CD2">
        <w:rPr>
          <w:rFonts w:ascii="TH SarabunPSK" w:hAnsi="TH SarabunPSK" w:cs="TH SarabunPSK" w:hint="cs"/>
          <w:sz w:val="28"/>
          <w:szCs w:val="28"/>
        </w:rPr>
        <w:t xml:space="preserve">, 26(1). </w:t>
      </w:r>
      <w:r w:rsidRPr="002B1CD2">
        <w:rPr>
          <w:rFonts w:ascii="TH SarabunPSK" w:hAnsi="TH SarabunPSK" w:cs="TH SarabunPSK" w:hint="cs"/>
          <w:sz w:val="28"/>
          <w:szCs w:val="28"/>
          <w:cs/>
        </w:rPr>
        <w:t xml:space="preserve">เข้าถึงจาก </w:t>
      </w:r>
      <w:r w:rsidRPr="002B1CD2">
        <w:rPr>
          <w:rFonts w:ascii="TH SarabunPSK" w:hAnsi="TH SarabunPSK" w:cs="TH SarabunPSK" w:hint="cs"/>
          <w:sz w:val="28"/>
          <w:szCs w:val="28"/>
        </w:rPr>
        <w:t>https://thaienvi.com/article/view/331</w:t>
      </w:r>
    </w:p>
    <w:p w14:paraId="594F7A1F"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ปริญฤทธิ์ ภู่คำมี</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รชานนท์ สนิทรักษ์</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นัทธวัฒน์ การาสี</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มงคล จันทร์รุ่งเรือง และโชติ บดีรัฐ</w:t>
      </w:r>
      <w:r w:rsidRPr="002B1CD2">
        <w:rPr>
          <w:rFonts w:ascii="TH SarabunPSK" w:hAnsi="TH SarabunPSK" w:cs="TH SarabunPSK" w:hint="cs"/>
          <w:sz w:val="28"/>
          <w:szCs w:val="28"/>
        </w:rPr>
        <w:t xml:space="preserve">. (2567). </w:t>
      </w:r>
      <w:r w:rsidRPr="002B1CD2">
        <w:rPr>
          <w:rFonts w:ascii="TH SarabunPSK" w:hAnsi="TH SarabunPSK" w:cs="TH SarabunPSK" w:hint="cs"/>
          <w:sz w:val="28"/>
          <w:szCs w:val="28"/>
          <w:cs/>
        </w:rPr>
        <w:t>แนวทางการจัดการขยะมูลฝอยในชุมชน</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วารสารวิชาการ มจร บุรีรัมย์</w:t>
      </w:r>
      <w:r w:rsidRPr="002B1CD2">
        <w:rPr>
          <w:rFonts w:ascii="TH SarabunPSK" w:hAnsi="TH SarabunPSK" w:cs="TH SarabunPSK" w:hint="cs"/>
          <w:sz w:val="28"/>
          <w:szCs w:val="28"/>
        </w:rPr>
        <w:t>, 9(3), 382-396.</w:t>
      </w:r>
    </w:p>
    <w:p w14:paraId="590CEFAC"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 xml:space="preserve">พระราชบัญญัติรักษาความสะอาดและความเป็นระเบียบเรียบร้อยของบ้านเมือง </w:t>
      </w:r>
      <w:r w:rsidRPr="002B1CD2">
        <w:rPr>
          <w:rFonts w:ascii="TH SarabunPSK" w:hAnsi="TH SarabunPSK" w:cs="TH SarabunPSK" w:hint="cs"/>
          <w:sz w:val="28"/>
          <w:szCs w:val="28"/>
        </w:rPr>
        <w:t>(</w:t>
      </w:r>
      <w:r w:rsidRPr="002B1CD2">
        <w:rPr>
          <w:rFonts w:ascii="TH SarabunPSK" w:hAnsi="TH SarabunPSK" w:cs="TH SarabunPSK" w:hint="cs"/>
          <w:sz w:val="28"/>
          <w:szCs w:val="28"/>
          <w:cs/>
        </w:rPr>
        <w:t xml:space="preserve">ฉบับที่ </w:t>
      </w:r>
      <w:r w:rsidRPr="002B1CD2">
        <w:rPr>
          <w:rFonts w:ascii="TH SarabunPSK" w:hAnsi="TH SarabunPSK" w:cs="TH SarabunPSK" w:hint="cs"/>
          <w:sz w:val="28"/>
          <w:szCs w:val="28"/>
        </w:rPr>
        <w:t xml:space="preserve">2) </w:t>
      </w:r>
      <w:r w:rsidRPr="002B1CD2">
        <w:rPr>
          <w:rFonts w:ascii="TH SarabunPSK" w:hAnsi="TH SarabunPSK" w:cs="TH SarabunPSK" w:hint="cs"/>
          <w:sz w:val="28"/>
          <w:szCs w:val="28"/>
          <w:cs/>
        </w:rPr>
        <w:t>พ</w:t>
      </w:r>
      <w:r w:rsidRPr="002B1CD2">
        <w:rPr>
          <w:rFonts w:ascii="TH SarabunPSK" w:hAnsi="TH SarabunPSK" w:cs="TH SarabunPSK" w:hint="cs"/>
          <w:sz w:val="28"/>
          <w:szCs w:val="28"/>
        </w:rPr>
        <w:t>.</w:t>
      </w:r>
      <w:r w:rsidRPr="002B1CD2">
        <w:rPr>
          <w:rFonts w:ascii="TH SarabunPSK" w:hAnsi="TH SarabunPSK" w:cs="TH SarabunPSK" w:hint="cs"/>
          <w:sz w:val="28"/>
          <w:szCs w:val="28"/>
          <w:cs/>
        </w:rPr>
        <w:t>ศ</w:t>
      </w:r>
      <w:r w:rsidRPr="002B1CD2">
        <w:rPr>
          <w:rFonts w:ascii="TH SarabunPSK" w:hAnsi="TH SarabunPSK" w:cs="TH SarabunPSK" w:hint="cs"/>
          <w:sz w:val="28"/>
          <w:szCs w:val="28"/>
        </w:rPr>
        <w:t xml:space="preserve">. 2560. (2560). </w:t>
      </w:r>
      <w:r w:rsidRPr="002B1CD2">
        <w:rPr>
          <w:rFonts w:ascii="TH SarabunPSK" w:hAnsi="TH SarabunPSK" w:cs="TH SarabunPSK" w:hint="cs"/>
          <w:i/>
          <w:iCs/>
          <w:sz w:val="28"/>
          <w:szCs w:val="28"/>
          <w:cs/>
        </w:rPr>
        <w:t>ราชกิจจานุเบกษา</w:t>
      </w:r>
      <w:r w:rsidRPr="002B1CD2">
        <w:rPr>
          <w:rFonts w:ascii="TH SarabunPSK" w:hAnsi="TH SarabunPSK" w:cs="TH SarabunPSK" w:hint="cs"/>
          <w:sz w:val="28"/>
          <w:szCs w:val="28"/>
        </w:rPr>
        <w:t xml:space="preserve">, 134(26 </w:t>
      </w:r>
      <w:r w:rsidRPr="002B1CD2">
        <w:rPr>
          <w:rFonts w:ascii="TH SarabunPSK" w:hAnsi="TH SarabunPSK" w:cs="TH SarabunPSK" w:hint="cs"/>
          <w:sz w:val="28"/>
          <w:szCs w:val="28"/>
          <w:cs/>
        </w:rPr>
        <w:t>ก</w:t>
      </w:r>
      <w:r w:rsidRPr="002B1CD2">
        <w:rPr>
          <w:rFonts w:ascii="TH SarabunPSK" w:hAnsi="TH SarabunPSK" w:cs="TH SarabunPSK" w:hint="cs"/>
          <w:sz w:val="28"/>
          <w:szCs w:val="28"/>
        </w:rPr>
        <w:t>), 1-4.</w:t>
      </w:r>
    </w:p>
    <w:p w14:paraId="60536F5A"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รัษฎากร วินิจกุล</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ปรียานุช พรหมภาสิต</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พิษณุ บุญนิยม และณัฐนันท์ ทองทรัพย์</w:t>
      </w:r>
      <w:r w:rsidRPr="002B1CD2">
        <w:rPr>
          <w:rFonts w:ascii="TH SarabunPSK" w:hAnsi="TH SarabunPSK" w:cs="TH SarabunPSK" w:hint="cs"/>
          <w:sz w:val="28"/>
          <w:szCs w:val="28"/>
        </w:rPr>
        <w:t xml:space="preserve">. (2567). </w:t>
      </w:r>
      <w:r w:rsidRPr="002B1CD2">
        <w:rPr>
          <w:rFonts w:ascii="TH SarabunPSK" w:hAnsi="TH SarabunPSK" w:cs="TH SarabunPSK" w:hint="cs"/>
          <w:sz w:val="28"/>
          <w:szCs w:val="28"/>
          <w:cs/>
        </w:rPr>
        <w:t xml:space="preserve">การบริหารจัดการขยะ </w:t>
      </w:r>
      <w:r w:rsidRPr="002B1CD2">
        <w:rPr>
          <w:rFonts w:ascii="TH SarabunPSK" w:hAnsi="TH SarabunPSK" w:cs="TH SarabunPSK" w:hint="cs"/>
          <w:sz w:val="28"/>
          <w:szCs w:val="28"/>
        </w:rPr>
        <w:t xml:space="preserve">(Zero Waste): </w:t>
      </w:r>
      <w:r w:rsidRPr="002B1CD2">
        <w:rPr>
          <w:rFonts w:ascii="TH SarabunPSK" w:hAnsi="TH SarabunPSK" w:cs="TH SarabunPSK" w:hint="cs"/>
          <w:sz w:val="28"/>
          <w:szCs w:val="28"/>
          <w:cs/>
        </w:rPr>
        <w:t>กรณีศึกษาชุมชนต้นแบบ จังหวัดกำแพงเพชร</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วารสารนวัตกรรมสิ่งแวดล้อม</w:t>
      </w:r>
      <w:r w:rsidRPr="002B1CD2">
        <w:rPr>
          <w:rFonts w:ascii="TH SarabunPSK" w:hAnsi="TH SarabunPSK" w:cs="TH SarabunPSK" w:hint="cs"/>
          <w:sz w:val="28"/>
          <w:szCs w:val="28"/>
        </w:rPr>
        <w:t>, 3(1), 22-38.</w:t>
      </w:r>
    </w:p>
    <w:p w14:paraId="7BE3AFAD"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วาริญนิศา วิจิตรวงศ์วาน และวิจิตรา ศรีสอน</w:t>
      </w:r>
      <w:r w:rsidRPr="002B1CD2">
        <w:rPr>
          <w:rFonts w:ascii="TH SarabunPSK" w:hAnsi="TH SarabunPSK" w:cs="TH SarabunPSK" w:hint="cs"/>
          <w:sz w:val="28"/>
          <w:szCs w:val="28"/>
        </w:rPr>
        <w:t xml:space="preserve">. (2565). </w:t>
      </w:r>
      <w:r w:rsidRPr="002B1CD2">
        <w:rPr>
          <w:rFonts w:ascii="TH SarabunPSK" w:hAnsi="TH SarabunPSK" w:cs="TH SarabunPSK" w:hint="cs"/>
          <w:sz w:val="28"/>
          <w:szCs w:val="28"/>
          <w:cs/>
        </w:rPr>
        <w:t>แนวทางในการจัดการขยะมูลฝอยของชุมชนต้นแบบบ้านรางพลับ ตำบลกรับใหญ่ อำเภอบ้านโป่ง จังหวัดราชบุรี ด้วยแนวคิดขยะเหลือศูนย์</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วารสารการบริหารนิติบุคคลและนวัตกรรมท้องถิ่น</w:t>
      </w:r>
      <w:r w:rsidRPr="002B1CD2">
        <w:rPr>
          <w:rFonts w:ascii="TH SarabunPSK" w:hAnsi="TH SarabunPSK" w:cs="TH SarabunPSK" w:hint="cs"/>
          <w:sz w:val="28"/>
          <w:szCs w:val="28"/>
        </w:rPr>
        <w:t>, 8(4), 253-268.</w:t>
      </w:r>
    </w:p>
    <w:p w14:paraId="68D773D6"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t>สัญญาศรณ์ สวัสดิ์ไธสง และอภิชัย บัวละพา</w:t>
      </w:r>
      <w:r w:rsidRPr="002B1CD2">
        <w:rPr>
          <w:rFonts w:ascii="TH SarabunPSK" w:hAnsi="TH SarabunPSK" w:cs="TH SarabunPSK" w:hint="cs"/>
          <w:sz w:val="28"/>
          <w:szCs w:val="28"/>
        </w:rPr>
        <w:t xml:space="preserve">. (2569). </w:t>
      </w:r>
      <w:r w:rsidRPr="002B1CD2">
        <w:rPr>
          <w:rFonts w:ascii="TH SarabunPSK" w:hAnsi="TH SarabunPSK" w:cs="TH SarabunPSK" w:hint="cs"/>
          <w:sz w:val="28"/>
          <w:szCs w:val="28"/>
          <w:cs/>
        </w:rPr>
        <w:t>การเสริมสร้างความโปร่งใสในการดำเนินงานขององค์กรปกครองส่วนท้องถิ่นไทย</w:t>
      </w:r>
      <w:r w:rsidRPr="002B1CD2">
        <w:rPr>
          <w:rFonts w:ascii="TH SarabunPSK" w:hAnsi="TH SarabunPSK" w:cs="TH SarabunPSK" w:hint="cs"/>
          <w:sz w:val="28"/>
          <w:szCs w:val="28"/>
        </w:rPr>
        <w:t xml:space="preserve">. </w:t>
      </w:r>
      <w:r w:rsidRPr="002B1CD2">
        <w:rPr>
          <w:rFonts w:ascii="TH SarabunPSK" w:hAnsi="TH SarabunPSK" w:cs="TH SarabunPSK" w:hint="cs"/>
          <w:i/>
          <w:iCs/>
          <w:sz w:val="28"/>
          <w:szCs w:val="28"/>
          <w:cs/>
        </w:rPr>
        <w:t>วิทยาการบริหารภาครัฐสมัยใหม่</w:t>
      </w:r>
      <w:r w:rsidRPr="002B1CD2">
        <w:rPr>
          <w:rFonts w:ascii="TH SarabunPSK" w:hAnsi="TH SarabunPSK" w:cs="TH SarabunPSK" w:hint="cs"/>
          <w:sz w:val="28"/>
          <w:szCs w:val="28"/>
        </w:rPr>
        <w:t>, 3(3), 340-354.</w:t>
      </w:r>
    </w:p>
    <w:p w14:paraId="2C83B97A"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cs/>
        </w:rPr>
        <w:lastRenderedPageBreak/>
        <w:t>สำนักงานสภาพัฒนาการเศรษฐกิจและสังคมแห่งชาติ</w:t>
      </w:r>
      <w:r w:rsidRPr="002B1CD2">
        <w:rPr>
          <w:rFonts w:ascii="TH SarabunPSK" w:hAnsi="TH SarabunPSK" w:cs="TH SarabunPSK" w:hint="cs"/>
          <w:sz w:val="28"/>
          <w:szCs w:val="28"/>
        </w:rPr>
        <w:t xml:space="preserve">. (2565). </w:t>
      </w:r>
      <w:r w:rsidRPr="002B1CD2">
        <w:rPr>
          <w:rFonts w:ascii="TH SarabunPSK" w:hAnsi="TH SarabunPSK" w:cs="TH SarabunPSK" w:hint="cs"/>
          <w:i/>
          <w:iCs/>
          <w:sz w:val="28"/>
          <w:szCs w:val="28"/>
          <w:cs/>
        </w:rPr>
        <w:t xml:space="preserve">แผนพัฒนาเศรษฐกิจและสังคมแห่งชาติ ฉบับที่ </w:t>
      </w:r>
      <w:r w:rsidRPr="002B1CD2">
        <w:rPr>
          <w:rFonts w:ascii="TH SarabunPSK" w:hAnsi="TH SarabunPSK" w:cs="TH SarabunPSK" w:hint="cs"/>
          <w:i/>
          <w:iCs/>
          <w:sz w:val="28"/>
          <w:szCs w:val="28"/>
        </w:rPr>
        <w:t xml:space="preserve">13 </w:t>
      </w:r>
      <w:r w:rsidRPr="002B1CD2">
        <w:rPr>
          <w:rFonts w:ascii="TH SarabunPSK" w:hAnsi="TH SarabunPSK" w:cs="TH SarabunPSK" w:hint="cs"/>
          <w:i/>
          <w:iCs/>
          <w:sz w:val="28"/>
          <w:szCs w:val="28"/>
          <w:cs/>
        </w:rPr>
        <w:t>พ</w:t>
      </w:r>
      <w:r w:rsidRPr="002B1CD2">
        <w:rPr>
          <w:rFonts w:ascii="TH SarabunPSK" w:hAnsi="TH SarabunPSK" w:cs="TH SarabunPSK" w:hint="cs"/>
          <w:i/>
          <w:iCs/>
          <w:sz w:val="28"/>
          <w:szCs w:val="28"/>
        </w:rPr>
        <w:t>.</w:t>
      </w:r>
      <w:r w:rsidRPr="002B1CD2">
        <w:rPr>
          <w:rFonts w:ascii="TH SarabunPSK" w:hAnsi="TH SarabunPSK" w:cs="TH SarabunPSK" w:hint="cs"/>
          <w:i/>
          <w:iCs/>
          <w:sz w:val="28"/>
          <w:szCs w:val="28"/>
          <w:cs/>
        </w:rPr>
        <w:t>ศ</w:t>
      </w:r>
      <w:r w:rsidRPr="002B1CD2">
        <w:rPr>
          <w:rFonts w:ascii="TH SarabunPSK" w:hAnsi="TH SarabunPSK" w:cs="TH SarabunPSK" w:hint="cs"/>
          <w:i/>
          <w:iCs/>
          <w:sz w:val="28"/>
          <w:szCs w:val="28"/>
        </w:rPr>
        <w:t>. 2566-2570</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กรุงเทพฯ</w:t>
      </w:r>
      <w:r w:rsidRPr="002B1CD2">
        <w:rPr>
          <w:rFonts w:ascii="TH SarabunPSK" w:hAnsi="TH SarabunPSK" w:cs="TH SarabunPSK" w:hint="cs"/>
          <w:sz w:val="28"/>
          <w:szCs w:val="28"/>
        </w:rPr>
        <w:t xml:space="preserve">: </w:t>
      </w:r>
      <w:r w:rsidRPr="002B1CD2">
        <w:rPr>
          <w:rFonts w:ascii="TH SarabunPSK" w:hAnsi="TH SarabunPSK" w:cs="TH SarabunPSK" w:hint="cs"/>
          <w:sz w:val="28"/>
          <w:szCs w:val="28"/>
          <w:cs/>
        </w:rPr>
        <w:t>สำนักงานสภาพัฒนาการเศรษฐกิจและสังคมแห่งชาติ</w:t>
      </w:r>
      <w:r w:rsidRPr="002B1CD2">
        <w:rPr>
          <w:rFonts w:ascii="TH SarabunPSK" w:hAnsi="TH SarabunPSK" w:cs="TH SarabunPSK" w:hint="cs"/>
          <w:sz w:val="28"/>
          <w:szCs w:val="28"/>
        </w:rPr>
        <w:t>.</w:t>
      </w:r>
    </w:p>
    <w:p w14:paraId="546F43E7"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rPr>
        <w:t xml:space="preserve">Guerrero, L. A., Maas, G., &amp; Hogland, W. (2013). Solid waste management challenges for cities in developing countries. </w:t>
      </w:r>
      <w:r w:rsidRPr="002B1CD2">
        <w:rPr>
          <w:rFonts w:ascii="TH SarabunPSK" w:hAnsi="TH SarabunPSK" w:cs="TH SarabunPSK" w:hint="cs"/>
          <w:i/>
          <w:iCs/>
          <w:sz w:val="28"/>
          <w:szCs w:val="28"/>
        </w:rPr>
        <w:t>Waste Management</w:t>
      </w:r>
      <w:r w:rsidRPr="002B1CD2">
        <w:rPr>
          <w:rFonts w:ascii="TH SarabunPSK" w:hAnsi="TH SarabunPSK" w:cs="TH SarabunPSK" w:hint="cs"/>
          <w:sz w:val="28"/>
          <w:szCs w:val="28"/>
        </w:rPr>
        <w:t>, 33(1), 220-232. https://doi.org/10.1016/j.wasman.2012.09.008</w:t>
      </w:r>
    </w:p>
    <w:p w14:paraId="4B8CD2CE"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rPr>
        <w:t xml:space="preserve">Marks, D., Miller, M. A., &amp; Vassanadumrongdee, S. (2023). Closing the loop or widening the gap? The unequal politics of Thailand's circular economy in addressing marine plastic pollution. </w:t>
      </w:r>
      <w:r w:rsidRPr="002B1CD2">
        <w:rPr>
          <w:rFonts w:ascii="TH SarabunPSK" w:hAnsi="TH SarabunPSK" w:cs="TH SarabunPSK" w:hint="cs"/>
          <w:i/>
          <w:iCs/>
          <w:sz w:val="28"/>
          <w:szCs w:val="28"/>
        </w:rPr>
        <w:t>Journal of Cleaner Production</w:t>
      </w:r>
      <w:r w:rsidRPr="002B1CD2">
        <w:rPr>
          <w:rFonts w:ascii="TH SarabunPSK" w:hAnsi="TH SarabunPSK" w:cs="TH SarabunPSK" w:hint="cs"/>
          <w:sz w:val="28"/>
          <w:szCs w:val="28"/>
        </w:rPr>
        <w:t>, 391, 136218. https://doi.org/10.1016/j.jclepro.2023.136218</w:t>
      </w:r>
    </w:p>
    <w:p w14:paraId="747FF329"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rPr>
        <w:t xml:space="preserve">Osborne, S. P. (Ed.). (2010). </w:t>
      </w:r>
      <w:r w:rsidRPr="002B1CD2">
        <w:rPr>
          <w:rFonts w:ascii="TH SarabunPSK" w:hAnsi="TH SarabunPSK" w:cs="TH SarabunPSK" w:hint="cs"/>
          <w:i/>
          <w:iCs/>
          <w:sz w:val="28"/>
          <w:szCs w:val="28"/>
        </w:rPr>
        <w:t>The new public governance? Emerging perspectives on the theory and practice of public governance</w:t>
      </w:r>
      <w:r w:rsidRPr="002B1CD2">
        <w:rPr>
          <w:rFonts w:ascii="TH SarabunPSK" w:hAnsi="TH SarabunPSK" w:cs="TH SarabunPSK" w:hint="cs"/>
          <w:sz w:val="28"/>
          <w:szCs w:val="28"/>
        </w:rPr>
        <w:t>. London: Routledge.</w:t>
      </w:r>
    </w:p>
    <w:p w14:paraId="6BA0734A"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rPr>
        <w:t xml:space="preserve">Samitthiwetcharong, S., Kullavanijaya, P., Suwanteep, K., &amp; Chavalparit, O. (2023). Towards sustainability through the circular economy of plastic packaging waste management in Rayong Province, Thailand. </w:t>
      </w:r>
      <w:r w:rsidRPr="002B1CD2">
        <w:rPr>
          <w:rFonts w:ascii="TH SarabunPSK" w:hAnsi="TH SarabunPSK" w:cs="TH SarabunPSK" w:hint="cs"/>
          <w:i/>
          <w:iCs/>
          <w:sz w:val="28"/>
          <w:szCs w:val="28"/>
        </w:rPr>
        <w:t>Journal of Material Cycles and Waste Management</w:t>
      </w:r>
      <w:r w:rsidRPr="002B1CD2">
        <w:rPr>
          <w:rFonts w:ascii="TH SarabunPSK" w:hAnsi="TH SarabunPSK" w:cs="TH SarabunPSK" w:hint="cs"/>
          <w:sz w:val="28"/>
          <w:szCs w:val="28"/>
        </w:rPr>
        <w:t>, 25(3), 1824-1840. https://doi.org/10.1007/s10163-023-01657-0</w:t>
      </w:r>
    </w:p>
    <w:p w14:paraId="0573C06B" w14:textId="77777777" w:rsidR="007512AD" w:rsidRPr="002B1CD2" w:rsidRDefault="007512AD" w:rsidP="00FF612A">
      <w:pPr>
        <w:spacing w:after="40" w:line="228" w:lineRule="auto"/>
        <w:ind w:left="709" w:hanging="709"/>
        <w:rPr>
          <w:rFonts w:ascii="TH SarabunPSK" w:hAnsi="TH SarabunPSK" w:cs="TH SarabunPSK"/>
          <w:sz w:val="28"/>
          <w:szCs w:val="28"/>
        </w:rPr>
      </w:pPr>
      <w:r w:rsidRPr="002B1CD2">
        <w:rPr>
          <w:rFonts w:ascii="TH SarabunPSK" w:hAnsi="TH SarabunPSK" w:cs="TH SarabunPSK" w:hint="cs"/>
          <w:sz w:val="28"/>
          <w:szCs w:val="28"/>
        </w:rPr>
        <w:t xml:space="preserve">United Nations Environment Programme. (2024). </w:t>
      </w:r>
      <w:r w:rsidRPr="002B1CD2">
        <w:rPr>
          <w:rFonts w:ascii="TH SarabunPSK" w:hAnsi="TH SarabunPSK" w:cs="TH SarabunPSK" w:hint="cs"/>
          <w:i/>
          <w:iCs/>
          <w:sz w:val="28"/>
          <w:szCs w:val="28"/>
        </w:rPr>
        <w:t>Global waste management outlook 2024: Beyond an age of waste - Turning rubbish into a resource</w:t>
      </w:r>
      <w:r w:rsidRPr="002B1CD2">
        <w:rPr>
          <w:rFonts w:ascii="TH SarabunPSK" w:hAnsi="TH SarabunPSK" w:cs="TH SarabunPSK" w:hint="cs"/>
          <w:sz w:val="28"/>
          <w:szCs w:val="28"/>
        </w:rPr>
        <w:t>. Nairobi: UNEP. https://doi.org/10.59117/20.500.11822/44939</w:t>
      </w:r>
    </w:p>
    <w:p w14:paraId="0912F89F" w14:textId="55F0E66B" w:rsidR="00D432F8" w:rsidRPr="00A5191E" w:rsidRDefault="007512AD" w:rsidP="00FF612A">
      <w:pPr>
        <w:spacing w:line="228" w:lineRule="auto"/>
        <w:ind w:left="709" w:hanging="709"/>
        <w:jc w:val="thaiDistribute"/>
        <w:rPr>
          <w:rFonts w:ascii="TH SarabunPSK" w:hAnsi="TH SarabunPSK" w:cs="TH SarabunPSK"/>
          <w:sz w:val="28"/>
          <w:szCs w:val="28"/>
        </w:rPr>
      </w:pPr>
      <w:r w:rsidRPr="002B1CD2">
        <w:rPr>
          <w:rFonts w:ascii="TH SarabunPSK" w:hAnsi="TH SarabunPSK" w:cs="TH SarabunPSK" w:hint="cs"/>
          <w:sz w:val="28"/>
          <w:szCs w:val="28"/>
        </w:rPr>
        <w:t xml:space="preserve">Vassanadumrongdee, S., Kallayanapattharasit, R., Lekkham, A., &amp; Unroj, P. (2023). Utilizing Wasteaware benchmark indicators to improve municipal solid waste management in northern Thailand. </w:t>
      </w:r>
      <w:r w:rsidRPr="002B1CD2">
        <w:rPr>
          <w:rFonts w:ascii="TH SarabunPSK" w:hAnsi="TH SarabunPSK" w:cs="TH SarabunPSK" w:hint="cs"/>
          <w:i/>
          <w:iCs/>
          <w:sz w:val="28"/>
          <w:szCs w:val="28"/>
        </w:rPr>
        <w:t>Applied Environmental Research</w:t>
      </w:r>
      <w:r w:rsidRPr="002B1CD2">
        <w:rPr>
          <w:rFonts w:ascii="TH SarabunPSK" w:hAnsi="TH SarabunPSK" w:cs="TH SarabunPSK" w:hint="cs"/>
          <w:sz w:val="28"/>
          <w:szCs w:val="28"/>
        </w:rPr>
        <w:t>, 45(1), 006. https://doi.org/10.35762/AER.2023006</w:t>
      </w:r>
    </w:p>
    <w:sectPr w:rsidR="00D432F8" w:rsidRPr="00A5191E" w:rsidSect="004013E9">
      <w:headerReference w:type="default" r:id="rId10"/>
      <w:footerReference w:type="default" r:id="rId11"/>
      <w:pgSz w:w="11906" w:h="16838"/>
      <w:pgMar w:top="2160" w:right="1440" w:bottom="1440" w:left="1440" w:header="547" w:footer="432" w:gutter="0"/>
      <w:pgNumType w:start="434"/>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FAEA0" w14:textId="77777777" w:rsidR="00E91D68" w:rsidRPr="002B1CD2" w:rsidRDefault="00E91D68">
      <w:r w:rsidRPr="002B1CD2">
        <w:separator/>
      </w:r>
    </w:p>
  </w:endnote>
  <w:endnote w:type="continuationSeparator" w:id="0">
    <w:p w14:paraId="2C3BB4F9" w14:textId="77777777" w:rsidR="00E91D68" w:rsidRPr="002B1CD2" w:rsidRDefault="00E91D68">
      <w:r w:rsidRPr="002B1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C5DB9E2D-B7F5-4680-B3B0-175966756295}"/>
    <w:embedBold r:id="rId2" w:fontKey="{043EBD00-0F85-4A98-9155-FD8D30B9A6B4}"/>
    <w:embedItalic r:id="rId3" w:fontKey="{31B87970-B9FC-4F38-821A-4FA2F0449E0E}"/>
  </w:font>
  <w:font w:name="TH SarabunPSK">
    <w:panose1 w:val="020B0500040200020003"/>
    <w:charset w:val="00"/>
    <w:family w:val="swiss"/>
    <w:pitch w:val="variable"/>
    <w:sig w:usb0="A100006F" w:usb1="5000205A" w:usb2="00000000" w:usb3="00000000" w:csb0="00010183" w:csb1="00000000"/>
    <w:embedRegular r:id="rId4" w:fontKey="{561CB27E-40C5-4419-ACBF-E0A392462D8C}"/>
    <w:embedBold r:id="rId5" w:fontKey="{C423BB38-914B-4D53-978B-A58D296E7E01}"/>
    <w:embedItalic r:id="rId6" w:fontKey="{BF303719-AE1D-49DE-B51B-ED922DB848BA}"/>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UPC">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embedRegular r:id="rId7" w:subsetted="1" w:fontKey="{AE15513E-19CA-48CD-B564-AB88CDC416F6}"/>
    <w:embedBold r:id="rId8" w:subsetted="1" w:fontKey="{8BD1AB81-1D3B-4E80-80DE-7D26DA070F90}"/>
  </w:font>
  <w:font w:name="TH Niramit AS">
    <w:panose1 w:val="02000506000000020004"/>
    <w:charset w:val="00"/>
    <w:family w:val="auto"/>
    <w:pitch w:val="variable"/>
    <w:sig w:usb0="A100006F" w:usb1="5000204A" w:usb2="00000000" w:usb3="00000000" w:csb0="00010183" w:csb1="00000000"/>
  </w:font>
  <w:font w:name="Leelawadee">
    <w:panose1 w:val="020B0502040204020203"/>
    <w:charset w:val="00"/>
    <w:family w:val="swiss"/>
    <w:pitch w:val="variable"/>
    <w:sig w:usb0="81000003" w:usb1="00000000" w:usb2="00000000" w:usb3="00000000" w:csb0="00010001" w:csb1="00000000"/>
  </w:font>
  <w:font w:name="Browallia New">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irong SemiBold">
    <w:altName w:val="Microsoft Sans Serif"/>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1923579" w:displacedByCustomXml="next"/>
  <w:sdt>
    <w:sdtPr>
      <w:rPr>
        <w:rFonts w:ascii="TH SarabunPSK" w:hAnsi="TH SarabunPSK" w:cs="TH SarabunPSK" w:hint="cs"/>
        <w:sz w:val="28"/>
        <w:szCs w:val="28"/>
      </w:rPr>
      <w:id w:val="411359513"/>
      <w:docPartObj>
        <w:docPartGallery w:val="Page Numbers (Bottom of Page)"/>
        <w:docPartUnique/>
      </w:docPartObj>
    </w:sdtPr>
    <w:sdtContent>
      <w:p w14:paraId="6B9D4548" w14:textId="5BF135F8" w:rsidR="007817B0" w:rsidRPr="002B1CD2" w:rsidRDefault="007817B0">
        <w:pPr>
          <w:pStyle w:val="a5"/>
          <w:jc w:val="center"/>
          <w:rPr>
            <w:rFonts w:ascii="TH SarabunPSK" w:hAnsi="TH SarabunPSK" w:cs="TH SarabunPSK"/>
            <w:sz w:val="28"/>
            <w:szCs w:val="28"/>
          </w:rPr>
        </w:pPr>
        <w:r w:rsidRPr="002B1CD2">
          <w:rPr>
            <w:rFonts w:ascii="TH SarabunPSK" w:hAnsi="TH SarabunPSK" w:cs="TH SarabunPSK" w:hint="cs"/>
            <w:sz w:val="28"/>
            <w:szCs w:val="28"/>
          </w:rPr>
          <w:fldChar w:fldCharType="begin"/>
        </w:r>
        <w:r w:rsidRPr="002B1CD2">
          <w:rPr>
            <w:rFonts w:ascii="TH SarabunPSK" w:hAnsi="TH SarabunPSK" w:cs="TH SarabunPSK" w:hint="cs"/>
            <w:sz w:val="28"/>
            <w:szCs w:val="28"/>
          </w:rPr>
          <w:instrText xml:space="preserve"> PAGE   \* MERGEFORMAT </w:instrText>
        </w:r>
        <w:r w:rsidRPr="002B1CD2">
          <w:rPr>
            <w:rFonts w:ascii="TH SarabunPSK" w:hAnsi="TH SarabunPSK" w:cs="TH SarabunPSK" w:hint="cs"/>
            <w:sz w:val="28"/>
            <w:szCs w:val="28"/>
          </w:rPr>
          <w:fldChar w:fldCharType="separate"/>
        </w:r>
        <w:r w:rsidR="009A78AC" w:rsidRPr="002B1CD2">
          <w:rPr>
            <w:rFonts w:ascii="TH SarabunPSK" w:hAnsi="TH SarabunPSK" w:cs="TH SarabunPSK"/>
            <w:sz w:val="28"/>
            <w:szCs w:val="28"/>
          </w:rPr>
          <w:t>441</w:t>
        </w:r>
        <w:r w:rsidRPr="002B1CD2">
          <w:rPr>
            <w:rFonts w:ascii="TH SarabunPSK" w:hAnsi="TH SarabunPSK" w:cs="TH SarabunPSK" w:hint="cs"/>
            <w:sz w:val="28"/>
            <w:szCs w:val="28"/>
          </w:rPr>
          <w:fldChar w:fldCharType="end"/>
        </w:r>
      </w:p>
    </w:sdtContent>
  </w:sdt>
  <w:p w14:paraId="0F9AD970" w14:textId="07D69A31" w:rsidR="008A0DBC" w:rsidRPr="002B1CD2" w:rsidRDefault="008A0DBC" w:rsidP="005B60E3">
    <w:pPr>
      <w:pStyle w:val="a5"/>
      <w:rPr>
        <w:rFonts w:ascii="TH SarabunPSK" w:hAnsi="TH SarabunPSK" w:cs="TH SarabunPSK"/>
        <w:sz w:val="28"/>
        <w:szCs w:val="28"/>
      </w:rPr>
    </w:pPr>
  </w:p>
  <w:bookmarkEnd w:i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EED30" w14:textId="77777777" w:rsidR="00E91D68" w:rsidRPr="002B1CD2" w:rsidRDefault="00E91D68">
      <w:r w:rsidRPr="002B1CD2">
        <w:separator/>
      </w:r>
    </w:p>
  </w:footnote>
  <w:footnote w:type="continuationSeparator" w:id="0">
    <w:p w14:paraId="32ECDA47" w14:textId="77777777" w:rsidR="00E91D68" w:rsidRPr="002B1CD2" w:rsidRDefault="00E91D68">
      <w:r w:rsidRPr="002B1C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6B7" w14:textId="77777777" w:rsidR="00203666" w:rsidRPr="002B1CD2" w:rsidRDefault="00203666" w:rsidP="00203666">
    <w:pPr>
      <w:jc w:val="right"/>
      <w:rPr>
        <w:rFonts w:ascii="TH Niramit AS" w:hAnsi="TH Niramit AS" w:cs="TH Niramit AS"/>
        <w:sz w:val="20"/>
        <w:szCs w:val="20"/>
      </w:rPr>
    </w:pPr>
  </w:p>
  <w:p w14:paraId="07BA62D5" w14:textId="749B175B" w:rsidR="00203666" w:rsidRPr="002B1CD2" w:rsidRDefault="00203666" w:rsidP="00203666">
    <w:pPr>
      <w:tabs>
        <w:tab w:val="left" w:pos="6610"/>
      </w:tabs>
      <w:jc w:val="right"/>
      <w:rPr>
        <w:rFonts w:ascii="Trirong SemiBold" w:hAnsi="Trirong SemiBold" w:cs="Trirong SemiBold"/>
        <w:color w:val="538135"/>
        <w:sz w:val="20"/>
        <w:szCs w:val="20"/>
      </w:rPr>
    </w:pPr>
    <w:r w:rsidRPr="002B1CD2">
      <w:rPr>
        <w:rFonts w:ascii="TH SarabunPSK" w:hAnsi="TH SarabunPSK" w:cs="TH SarabunPSK"/>
        <w:i/>
        <w:iCs/>
        <w:sz w:val="28"/>
        <w:szCs w:val="28"/>
      </w:rPr>
      <w:t>Modern Public Administrative Science, 3(</w:t>
    </w:r>
    <w:r w:rsidR="00275F77" w:rsidRPr="002B1CD2">
      <w:rPr>
        <w:rFonts w:ascii="TH SarabunPSK" w:hAnsi="TH SarabunPSK" w:cs="TH SarabunPSK"/>
        <w:i/>
        <w:iCs/>
        <w:sz w:val="28"/>
        <w:szCs w:val="28"/>
      </w:rPr>
      <w:t>4</w:t>
    </w:r>
    <w:r w:rsidRPr="002B1CD2">
      <w:rPr>
        <w:rFonts w:ascii="TH SarabunPSK" w:hAnsi="TH SarabunPSK" w:cs="TH SarabunPSK"/>
        <w:i/>
        <w:iCs/>
        <w:sz w:val="28"/>
        <w:szCs w:val="28"/>
      </w:rPr>
      <w:t xml:space="preserve">) 2026, Page: </w:t>
    </w:r>
    <w:r w:rsidR="00833628" w:rsidRPr="002B1CD2">
      <w:rPr>
        <w:rFonts w:ascii="TH SarabunPSK" w:hAnsi="TH SarabunPSK" w:cs="TH SarabunPSK"/>
        <w:i/>
        <w:iCs/>
        <w:sz w:val="28"/>
        <w:szCs w:val="28"/>
      </w:rPr>
      <w:t>4</w:t>
    </w:r>
    <w:r w:rsidR="004013E9" w:rsidRPr="002B1CD2">
      <w:rPr>
        <w:rFonts w:ascii="TH SarabunPSK" w:hAnsi="TH SarabunPSK" w:cs="TH SarabunPSK"/>
        <w:i/>
        <w:iCs/>
        <w:sz w:val="28"/>
        <w:szCs w:val="28"/>
      </w:rPr>
      <w:t>34</w:t>
    </w:r>
    <w:r w:rsidR="00814F32" w:rsidRPr="002B1CD2">
      <w:rPr>
        <w:rFonts w:ascii="TH SarabunPSK" w:hAnsi="TH SarabunPSK" w:cs="TH SarabunPSK"/>
        <w:i/>
        <w:iCs/>
        <w:sz w:val="28"/>
        <w:szCs w:val="28"/>
      </w:rPr>
      <w:t>-</w:t>
    </w:r>
    <w:r w:rsidR="009A78AC" w:rsidRPr="002B1CD2">
      <w:rPr>
        <w:rFonts w:ascii="TH SarabunPSK" w:hAnsi="TH SarabunPSK" w:cs="TH SarabunPSK"/>
        <w:i/>
        <w:iCs/>
        <w:sz w:val="28"/>
        <w:szCs w:val="28"/>
      </w:rPr>
      <w:t>442</w:t>
    </w:r>
  </w:p>
  <w:p w14:paraId="146E2946" w14:textId="77777777" w:rsidR="00203666" w:rsidRPr="002B1CD2" w:rsidRDefault="00203666" w:rsidP="00203666">
    <w:pPr>
      <w:tabs>
        <w:tab w:val="left" w:pos="6610"/>
      </w:tabs>
      <w:rPr>
        <w:rFonts w:ascii="Trirong SemiBold" w:hAnsi="Trirong SemiBold" w:cs="Trirong SemiBold"/>
        <w:color w:val="538135"/>
        <w:sz w:val="20"/>
        <w:szCs w:val="20"/>
      </w:rPr>
    </w:pPr>
    <w:r w:rsidRPr="002B1CD2">
      <w:rPr>
        <w:rFonts w:ascii="Trirong SemiBold" w:hAnsi="Trirong SemiBold" w:cs="Trirong SemiBold"/>
        <w:color w:val="538135"/>
        <w:sz w:val="18"/>
        <w:szCs w:val="18"/>
        <w:cs/>
      </w:rPr>
      <w:tab/>
    </w:r>
  </w:p>
  <w:p w14:paraId="7640C461" w14:textId="510AC6D9" w:rsidR="008A0DBC" w:rsidRPr="002B1CD2" w:rsidRDefault="008A0DBC" w:rsidP="002F1439">
    <w:pPr>
      <w:tabs>
        <w:tab w:val="left" w:pos="6610"/>
      </w:tabs>
      <w:jc w:val="right"/>
      <w:rPr>
        <w:rFonts w:ascii="Trirong SemiBold" w:hAnsi="Trirong SemiBold" w:cs="Trirong SemiBold"/>
        <w:color w:val="53813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727F54"/>
    <w:multiLevelType w:val="multilevel"/>
    <w:tmpl w:val="B8AC0ED2"/>
    <w:lvl w:ilvl="0">
      <w:start w:val="1"/>
      <w:numFmt w:val="decimal"/>
      <w:lvlText w:val="%1"/>
      <w:lvlJc w:val="left"/>
      <w:pPr>
        <w:ind w:left="360" w:hanging="360"/>
      </w:pPr>
      <w:rPr>
        <w:rFonts w:hint="default"/>
      </w:rPr>
    </w:lvl>
    <w:lvl w:ilvl="1">
      <w:start w:val="1"/>
      <w:numFmt w:val="decimal"/>
      <w:lvlText w:val="%2)"/>
      <w:lvlJc w:val="left"/>
      <w:pPr>
        <w:ind w:left="1800" w:hanging="360"/>
      </w:pPr>
      <w:rPr>
        <w:rFonts w:ascii="TH SarabunPSK" w:eastAsia="Cordia New" w:hAnsi="TH SarabunPSK" w:cs="TH SarabunPSK"/>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num w:numId="1" w16cid:durableId="197329383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262"/>
    <w:rsid w:val="00011015"/>
    <w:rsid w:val="00015B7E"/>
    <w:rsid w:val="00020D10"/>
    <w:rsid w:val="00020D63"/>
    <w:rsid w:val="0002481D"/>
    <w:rsid w:val="00030D23"/>
    <w:rsid w:val="00050576"/>
    <w:rsid w:val="00061262"/>
    <w:rsid w:val="000612CB"/>
    <w:rsid w:val="000721FD"/>
    <w:rsid w:val="00086021"/>
    <w:rsid w:val="000A24E9"/>
    <w:rsid w:val="000A3648"/>
    <w:rsid w:val="000A7F0A"/>
    <w:rsid w:val="000B7688"/>
    <w:rsid w:val="000C2D93"/>
    <w:rsid w:val="000C6A0B"/>
    <w:rsid w:val="000E17B3"/>
    <w:rsid w:val="000E1BCB"/>
    <w:rsid w:val="000E37CE"/>
    <w:rsid w:val="000E3DA4"/>
    <w:rsid w:val="000F126B"/>
    <w:rsid w:val="00111D88"/>
    <w:rsid w:val="00112C8E"/>
    <w:rsid w:val="001210B2"/>
    <w:rsid w:val="00126FAD"/>
    <w:rsid w:val="001319A8"/>
    <w:rsid w:val="00133C88"/>
    <w:rsid w:val="001408A0"/>
    <w:rsid w:val="00144AD8"/>
    <w:rsid w:val="001476F7"/>
    <w:rsid w:val="00150DD0"/>
    <w:rsid w:val="001571EF"/>
    <w:rsid w:val="00160EBB"/>
    <w:rsid w:val="00184831"/>
    <w:rsid w:val="00191BBA"/>
    <w:rsid w:val="00191EAC"/>
    <w:rsid w:val="0019226E"/>
    <w:rsid w:val="001A4DED"/>
    <w:rsid w:val="001B5BE5"/>
    <w:rsid w:val="001B64A9"/>
    <w:rsid w:val="001C1666"/>
    <w:rsid w:val="001C40E0"/>
    <w:rsid w:val="001C6D50"/>
    <w:rsid w:val="001C7589"/>
    <w:rsid w:val="001F4663"/>
    <w:rsid w:val="00202213"/>
    <w:rsid w:val="00203666"/>
    <w:rsid w:val="002056CF"/>
    <w:rsid w:val="00222EC2"/>
    <w:rsid w:val="00225F8E"/>
    <w:rsid w:val="00231A06"/>
    <w:rsid w:val="00240B3D"/>
    <w:rsid w:val="00246A87"/>
    <w:rsid w:val="00246D2C"/>
    <w:rsid w:val="0027138A"/>
    <w:rsid w:val="002756DB"/>
    <w:rsid w:val="00275F77"/>
    <w:rsid w:val="00276BCD"/>
    <w:rsid w:val="002770A0"/>
    <w:rsid w:val="00282076"/>
    <w:rsid w:val="002822FB"/>
    <w:rsid w:val="00292C06"/>
    <w:rsid w:val="00294F7A"/>
    <w:rsid w:val="00296231"/>
    <w:rsid w:val="002A0C23"/>
    <w:rsid w:val="002A382D"/>
    <w:rsid w:val="002A71A8"/>
    <w:rsid w:val="002B1CD2"/>
    <w:rsid w:val="002B4DB9"/>
    <w:rsid w:val="002B7DCB"/>
    <w:rsid w:val="002C22C6"/>
    <w:rsid w:val="002C2A55"/>
    <w:rsid w:val="002C5DD5"/>
    <w:rsid w:val="002C6226"/>
    <w:rsid w:val="002D3736"/>
    <w:rsid w:val="002D6943"/>
    <w:rsid w:val="002D72B6"/>
    <w:rsid w:val="002E0B60"/>
    <w:rsid w:val="002E6A87"/>
    <w:rsid w:val="002F1439"/>
    <w:rsid w:val="002F3854"/>
    <w:rsid w:val="00306C6C"/>
    <w:rsid w:val="003128F8"/>
    <w:rsid w:val="003139F0"/>
    <w:rsid w:val="003208A1"/>
    <w:rsid w:val="00321EE8"/>
    <w:rsid w:val="00326AD6"/>
    <w:rsid w:val="00326ADE"/>
    <w:rsid w:val="00333F3C"/>
    <w:rsid w:val="00335B44"/>
    <w:rsid w:val="00335B90"/>
    <w:rsid w:val="00342011"/>
    <w:rsid w:val="00342BE0"/>
    <w:rsid w:val="003461D1"/>
    <w:rsid w:val="003473C0"/>
    <w:rsid w:val="0035294F"/>
    <w:rsid w:val="00353DC6"/>
    <w:rsid w:val="0035516B"/>
    <w:rsid w:val="00360938"/>
    <w:rsid w:val="003639B8"/>
    <w:rsid w:val="00365B69"/>
    <w:rsid w:val="00366F0F"/>
    <w:rsid w:val="00371A24"/>
    <w:rsid w:val="0037516C"/>
    <w:rsid w:val="00377052"/>
    <w:rsid w:val="003773B4"/>
    <w:rsid w:val="00381295"/>
    <w:rsid w:val="00391275"/>
    <w:rsid w:val="00391394"/>
    <w:rsid w:val="00392490"/>
    <w:rsid w:val="003969BC"/>
    <w:rsid w:val="003A3F84"/>
    <w:rsid w:val="003D14D8"/>
    <w:rsid w:val="003D3F97"/>
    <w:rsid w:val="003E45C0"/>
    <w:rsid w:val="003E5C6C"/>
    <w:rsid w:val="003F1C20"/>
    <w:rsid w:val="004013E9"/>
    <w:rsid w:val="00402F72"/>
    <w:rsid w:val="00403537"/>
    <w:rsid w:val="00412565"/>
    <w:rsid w:val="00413DC9"/>
    <w:rsid w:val="00425EBD"/>
    <w:rsid w:val="00435F7D"/>
    <w:rsid w:val="004419F1"/>
    <w:rsid w:val="00441AB7"/>
    <w:rsid w:val="004501AF"/>
    <w:rsid w:val="00470132"/>
    <w:rsid w:val="00474F34"/>
    <w:rsid w:val="004944FD"/>
    <w:rsid w:val="004A400B"/>
    <w:rsid w:val="004A7EB9"/>
    <w:rsid w:val="004B339D"/>
    <w:rsid w:val="004D3A44"/>
    <w:rsid w:val="004D4694"/>
    <w:rsid w:val="004F19DD"/>
    <w:rsid w:val="004F40F0"/>
    <w:rsid w:val="004F780B"/>
    <w:rsid w:val="00504EB2"/>
    <w:rsid w:val="005109A7"/>
    <w:rsid w:val="005203C2"/>
    <w:rsid w:val="005225BB"/>
    <w:rsid w:val="00524FBD"/>
    <w:rsid w:val="00525044"/>
    <w:rsid w:val="005302CC"/>
    <w:rsid w:val="00531BDB"/>
    <w:rsid w:val="00533D03"/>
    <w:rsid w:val="0053734F"/>
    <w:rsid w:val="00540674"/>
    <w:rsid w:val="00541DE3"/>
    <w:rsid w:val="00546C4F"/>
    <w:rsid w:val="00552AF2"/>
    <w:rsid w:val="00562237"/>
    <w:rsid w:val="00564B3A"/>
    <w:rsid w:val="005729CA"/>
    <w:rsid w:val="00577FBE"/>
    <w:rsid w:val="00581470"/>
    <w:rsid w:val="00584641"/>
    <w:rsid w:val="0059214A"/>
    <w:rsid w:val="005A1345"/>
    <w:rsid w:val="005A1D4C"/>
    <w:rsid w:val="005A71BE"/>
    <w:rsid w:val="005B60E3"/>
    <w:rsid w:val="005D2DBE"/>
    <w:rsid w:val="005D3DE7"/>
    <w:rsid w:val="005D4082"/>
    <w:rsid w:val="005F41AC"/>
    <w:rsid w:val="005F57BC"/>
    <w:rsid w:val="00603A1F"/>
    <w:rsid w:val="00611A06"/>
    <w:rsid w:val="006146AF"/>
    <w:rsid w:val="00617878"/>
    <w:rsid w:val="006225AC"/>
    <w:rsid w:val="0063105F"/>
    <w:rsid w:val="006376A5"/>
    <w:rsid w:val="00637ECA"/>
    <w:rsid w:val="00643D49"/>
    <w:rsid w:val="00645B8C"/>
    <w:rsid w:val="006468D4"/>
    <w:rsid w:val="00660F15"/>
    <w:rsid w:val="006708D0"/>
    <w:rsid w:val="006733DF"/>
    <w:rsid w:val="006776B6"/>
    <w:rsid w:val="006865AE"/>
    <w:rsid w:val="00690DA3"/>
    <w:rsid w:val="00692400"/>
    <w:rsid w:val="00692487"/>
    <w:rsid w:val="00692A19"/>
    <w:rsid w:val="006937DA"/>
    <w:rsid w:val="006A0B86"/>
    <w:rsid w:val="006A6A6F"/>
    <w:rsid w:val="006D59D9"/>
    <w:rsid w:val="006D73B1"/>
    <w:rsid w:val="006E4227"/>
    <w:rsid w:val="006E5D7F"/>
    <w:rsid w:val="006E7E08"/>
    <w:rsid w:val="00701746"/>
    <w:rsid w:val="007260D3"/>
    <w:rsid w:val="007400E3"/>
    <w:rsid w:val="00741509"/>
    <w:rsid w:val="007430A1"/>
    <w:rsid w:val="00744D24"/>
    <w:rsid w:val="007512AD"/>
    <w:rsid w:val="007579C0"/>
    <w:rsid w:val="00764768"/>
    <w:rsid w:val="00773324"/>
    <w:rsid w:val="007817B0"/>
    <w:rsid w:val="00785FC0"/>
    <w:rsid w:val="00796CBE"/>
    <w:rsid w:val="007B1643"/>
    <w:rsid w:val="007B229F"/>
    <w:rsid w:val="007B3946"/>
    <w:rsid w:val="007C23A8"/>
    <w:rsid w:val="007C2C65"/>
    <w:rsid w:val="007C6725"/>
    <w:rsid w:val="007C7C2E"/>
    <w:rsid w:val="007D4B21"/>
    <w:rsid w:val="007D6022"/>
    <w:rsid w:val="007D6C9F"/>
    <w:rsid w:val="007D7C5C"/>
    <w:rsid w:val="007E0C71"/>
    <w:rsid w:val="007E2D7A"/>
    <w:rsid w:val="007E5B4B"/>
    <w:rsid w:val="007F747E"/>
    <w:rsid w:val="00801B93"/>
    <w:rsid w:val="00802EBC"/>
    <w:rsid w:val="00814F32"/>
    <w:rsid w:val="00827C01"/>
    <w:rsid w:val="00831C79"/>
    <w:rsid w:val="00832276"/>
    <w:rsid w:val="00832899"/>
    <w:rsid w:val="00833628"/>
    <w:rsid w:val="00836AF1"/>
    <w:rsid w:val="00842616"/>
    <w:rsid w:val="00862800"/>
    <w:rsid w:val="00863707"/>
    <w:rsid w:val="00867D6B"/>
    <w:rsid w:val="0087445C"/>
    <w:rsid w:val="008828B3"/>
    <w:rsid w:val="00884A1A"/>
    <w:rsid w:val="008954E4"/>
    <w:rsid w:val="00895854"/>
    <w:rsid w:val="008A0DBC"/>
    <w:rsid w:val="008A258B"/>
    <w:rsid w:val="008A4FC2"/>
    <w:rsid w:val="008A5923"/>
    <w:rsid w:val="008E1DD8"/>
    <w:rsid w:val="008F1B38"/>
    <w:rsid w:val="008F6C6E"/>
    <w:rsid w:val="008F70DE"/>
    <w:rsid w:val="009062B2"/>
    <w:rsid w:val="00914E6F"/>
    <w:rsid w:val="0092344D"/>
    <w:rsid w:val="00933BFA"/>
    <w:rsid w:val="00935800"/>
    <w:rsid w:val="00940B60"/>
    <w:rsid w:val="009423E6"/>
    <w:rsid w:val="00944844"/>
    <w:rsid w:val="009460CB"/>
    <w:rsid w:val="009476D0"/>
    <w:rsid w:val="00953874"/>
    <w:rsid w:val="00964134"/>
    <w:rsid w:val="0096763F"/>
    <w:rsid w:val="00977114"/>
    <w:rsid w:val="00983150"/>
    <w:rsid w:val="00984501"/>
    <w:rsid w:val="00985816"/>
    <w:rsid w:val="009A4005"/>
    <w:rsid w:val="009A78AC"/>
    <w:rsid w:val="009B4B78"/>
    <w:rsid w:val="009D2C77"/>
    <w:rsid w:val="009E584B"/>
    <w:rsid w:val="009F2BB7"/>
    <w:rsid w:val="009F4130"/>
    <w:rsid w:val="009F7B35"/>
    <w:rsid w:val="009F7F1E"/>
    <w:rsid w:val="00A0228F"/>
    <w:rsid w:val="00A05099"/>
    <w:rsid w:val="00A06D41"/>
    <w:rsid w:val="00A10215"/>
    <w:rsid w:val="00A2452A"/>
    <w:rsid w:val="00A31177"/>
    <w:rsid w:val="00A315CC"/>
    <w:rsid w:val="00A425A9"/>
    <w:rsid w:val="00A426F6"/>
    <w:rsid w:val="00A508A0"/>
    <w:rsid w:val="00A5191E"/>
    <w:rsid w:val="00A55DFE"/>
    <w:rsid w:val="00A801B6"/>
    <w:rsid w:val="00A81930"/>
    <w:rsid w:val="00A83B16"/>
    <w:rsid w:val="00A95F4E"/>
    <w:rsid w:val="00AA3B4C"/>
    <w:rsid w:val="00AB0102"/>
    <w:rsid w:val="00AB0B90"/>
    <w:rsid w:val="00AB1776"/>
    <w:rsid w:val="00AE3161"/>
    <w:rsid w:val="00B22B3E"/>
    <w:rsid w:val="00B25BFC"/>
    <w:rsid w:val="00B26B36"/>
    <w:rsid w:val="00B30291"/>
    <w:rsid w:val="00B3104D"/>
    <w:rsid w:val="00B343C3"/>
    <w:rsid w:val="00B346B9"/>
    <w:rsid w:val="00B37439"/>
    <w:rsid w:val="00B37948"/>
    <w:rsid w:val="00B6168F"/>
    <w:rsid w:val="00B62CED"/>
    <w:rsid w:val="00B64D7B"/>
    <w:rsid w:val="00B93A9D"/>
    <w:rsid w:val="00B95B9C"/>
    <w:rsid w:val="00B969F4"/>
    <w:rsid w:val="00BA0A19"/>
    <w:rsid w:val="00BB7E35"/>
    <w:rsid w:val="00BD3513"/>
    <w:rsid w:val="00BF141F"/>
    <w:rsid w:val="00BF17D7"/>
    <w:rsid w:val="00BF7A65"/>
    <w:rsid w:val="00C145DB"/>
    <w:rsid w:val="00C24733"/>
    <w:rsid w:val="00C36963"/>
    <w:rsid w:val="00C410E0"/>
    <w:rsid w:val="00C455FF"/>
    <w:rsid w:val="00C45A3A"/>
    <w:rsid w:val="00C572F9"/>
    <w:rsid w:val="00C626C7"/>
    <w:rsid w:val="00C74AE8"/>
    <w:rsid w:val="00C841EB"/>
    <w:rsid w:val="00C97A1B"/>
    <w:rsid w:val="00CA4073"/>
    <w:rsid w:val="00CA7813"/>
    <w:rsid w:val="00CB6F1C"/>
    <w:rsid w:val="00CC31CC"/>
    <w:rsid w:val="00CC4C8A"/>
    <w:rsid w:val="00CD2422"/>
    <w:rsid w:val="00CE6EE6"/>
    <w:rsid w:val="00CF608E"/>
    <w:rsid w:val="00CF6DEA"/>
    <w:rsid w:val="00CF7354"/>
    <w:rsid w:val="00D02BEE"/>
    <w:rsid w:val="00D12D5B"/>
    <w:rsid w:val="00D15589"/>
    <w:rsid w:val="00D432F8"/>
    <w:rsid w:val="00D43F65"/>
    <w:rsid w:val="00D50DA9"/>
    <w:rsid w:val="00D54F7A"/>
    <w:rsid w:val="00D64330"/>
    <w:rsid w:val="00D6549B"/>
    <w:rsid w:val="00D67A7D"/>
    <w:rsid w:val="00D72B2F"/>
    <w:rsid w:val="00D72CAF"/>
    <w:rsid w:val="00D77B52"/>
    <w:rsid w:val="00D83B77"/>
    <w:rsid w:val="00D9289F"/>
    <w:rsid w:val="00D9627D"/>
    <w:rsid w:val="00D97055"/>
    <w:rsid w:val="00D97056"/>
    <w:rsid w:val="00D97551"/>
    <w:rsid w:val="00DA15B2"/>
    <w:rsid w:val="00DA7B4C"/>
    <w:rsid w:val="00DB010C"/>
    <w:rsid w:val="00DB154C"/>
    <w:rsid w:val="00DC5984"/>
    <w:rsid w:val="00DD4F61"/>
    <w:rsid w:val="00DD60AD"/>
    <w:rsid w:val="00DE060D"/>
    <w:rsid w:val="00DE3FB1"/>
    <w:rsid w:val="00DE4E0A"/>
    <w:rsid w:val="00DF16D1"/>
    <w:rsid w:val="00E0193A"/>
    <w:rsid w:val="00E0316C"/>
    <w:rsid w:val="00E04ADA"/>
    <w:rsid w:val="00E07604"/>
    <w:rsid w:val="00E13D1D"/>
    <w:rsid w:val="00E277CC"/>
    <w:rsid w:val="00E43ABE"/>
    <w:rsid w:val="00E52065"/>
    <w:rsid w:val="00E607B6"/>
    <w:rsid w:val="00E71182"/>
    <w:rsid w:val="00E77D6F"/>
    <w:rsid w:val="00E87C59"/>
    <w:rsid w:val="00E90BD2"/>
    <w:rsid w:val="00E915BE"/>
    <w:rsid w:val="00E91D68"/>
    <w:rsid w:val="00E92421"/>
    <w:rsid w:val="00E95144"/>
    <w:rsid w:val="00E964F3"/>
    <w:rsid w:val="00E96669"/>
    <w:rsid w:val="00EA0B98"/>
    <w:rsid w:val="00EA12FE"/>
    <w:rsid w:val="00EA1BF7"/>
    <w:rsid w:val="00EA4DCF"/>
    <w:rsid w:val="00EB167E"/>
    <w:rsid w:val="00EB1E81"/>
    <w:rsid w:val="00EB203D"/>
    <w:rsid w:val="00EC15C1"/>
    <w:rsid w:val="00EC5692"/>
    <w:rsid w:val="00EC7A5D"/>
    <w:rsid w:val="00ED0E89"/>
    <w:rsid w:val="00EE0112"/>
    <w:rsid w:val="00EE40FE"/>
    <w:rsid w:val="00EE4538"/>
    <w:rsid w:val="00EE5437"/>
    <w:rsid w:val="00EF0ACC"/>
    <w:rsid w:val="00F05CF3"/>
    <w:rsid w:val="00F11855"/>
    <w:rsid w:val="00F16F39"/>
    <w:rsid w:val="00F20EEE"/>
    <w:rsid w:val="00F25DAF"/>
    <w:rsid w:val="00F3427F"/>
    <w:rsid w:val="00F43FE7"/>
    <w:rsid w:val="00F442DF"/>
    <w:rsid w:val="00F4490A"/>
    <w:rsid w:val="00F50BB0"/>
    <w:rsid w:val="00F55EB3"/>
    <w:rsid w:val="00F56F56"/>
    <w:rsid w:val="00F61A89"/>
    <w:rsid w:val="00F62D6A"/>
    <w:rsid w:val="00F74762"/>
    <w:rsid w:val="00F771F0"/>
    <w:rsid w:val="00F803B7"/>
    <w:rsid w:val="00F829C8"/>
    <w:rsid w:val="00F84123"/>
    <w:rsid w:val="00FB0A46"/>
    <w:rsid w:val="00FB1631"/>
    <w:rsid w:val="00FB18D3"/>
    <w:rsid w:val="00FB5254"/>
    <w:rsid w:val="00FB540F"/>
    <w:rsid w:val="00FB7B09"/>
    <w:rsid w:val="00FC1BCD"/>
    <w:rsid w:val="00FD0207"/>
    <w:rsid w:val="00FD0698"/>
    <w:rsid w:val="00FD26AB"/>
    <w:rsid w:val="00FE66A3"/>
    <w:rsid w:val="00FF612A"/>
    <w:rsid w:val="00FF67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84D6E"/>
  <w15:chartTrackingRefBased/>
  <w15:docId w15:val="{EA844315-BD31-44DC-A029-33FFEB61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011"/>
    <w:pPr>
      <w:spacing w:after="0" w:line="240" w:lineRule="auto"/>
    </w:pPr>
    <w:rPr>
      <w:rFonts w:ascii="AngsanaUPC" w:eastAsia="Cordia New" w:hAnsi="AngsanaUPC" w:cs="AngsanaUPC"/>
      <w:noProof/>
      <w:sz w:val="32"/>
      <w:szCs w:val="32"/>
    </w:rPr>
  </w:style>
  <w:style w:type="paragraph" w:styleId="2">
    <w:name w:val="heading 2"/>
    <w:basedOn w:val="a"/>
    <w:next w:val="a"/>
    <w:link w:val="20"/>
    <w:uiPriority w:val="9"/>
    <w:semiHidden/>
    <w:unhideWhenUsed/>
    <w:qFormat/>
    <w:rsid w:val="00191BBA"/>
    <w:pPr>
      <w:keepNext/>
      <w:keepLines/>
      <w:spacing w:before="40"/>
      <w:outlineLvl w:val="1"/>
    </w:pPr>
    <w:rPr>
      <w:rFonts w:asciiTheme="majorHAnsi" w:eastAsiaTheme="majorEastAsia" w:hAnsiTheme="majorHAnsi" w:cstheme="majorBidi"/>
      <w:color w:val="2E74B5" w:themeColor="accent1" w:themeShade="BF"/>
      <w:sz w:val="26"/>
      <w:szCs w:val="33"/>
    </w:rPr>
  </w:style>
  <w:style w:type="paragraph" w:styleId="3">
    <w:name w:val="heading 3"/>
    <w:basedOn w:val="a"/>
    <w:next w:val="a"/>
    <w:link w:val="30"/>
    <w:uiPriority w:val="9"/>
    <w:semiHidden/>
    <w:unhideWhenUsed/>
    <w:qFormat/>
    <w:rsid w:val="00391275"/>
    <w:pPr>
      <w:keepNext/>
      <w:keepLines/>
      <w:spacing w:before="40"/>
      <w:outlineLvl w:val="2"/>
    </w:pPr>
    <w:rPr>
      <w:rFonts w:asciiTheme="majorHAnsi" w:eastAsiaTheme="majorEastAsia" w:hAnsiTheme="majorHAnsi" w:cstheme="majorBidi"/>
      <w:color w:val="1F4D78" w:themeColor="accent1" w:themeShade="7F"/>
      <w:sz w:val="2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42011"/>
    <w:pPr>
      <w:tabs>
        <w:tab w:val="center" w:pos="4513"/>
        <w:tab w:val="right" w:pos="9026"/>
      </w:tabs>
    </w:pPr>
    <w:rPr>
      <w:rFonts w:cs="Angsana New"/>
      <w:szCs w:val="40"/>
    </w:rPr>
  </w:style>
  <w:style w:type="character" w:customStyle="1" w:styleId="a4">
    <w:name w:val="หัวกระดาษ อักขระ"/>
    <w:basedOn w:val="a0"/>
    <w:link w:val="a3"/>
    <w:uiPriority w:val="99"/>
    <w:rsid w:val="00342011"/>
    <w:rPr>
      <w:rFonts w:ascii="AngsanaUPC" w:eastAsia="Cordia New" w:hAnsi="AngsanaUPC" w:cs="Angsana New"/>
      <w:sz w:val="32"/>
      <w:szCs w:val="40"/>
    </w:rPr>
  </w:style>
  <w:style w:type="paragraph" w:styleId="a5">
    <w:name w:val="footer"/>
    <w:basedOn w:val="a"/>
    <w:link w:val="a6"/>
    <w:uiPriority w:val="99"/>
    <w:rsid w:val="00342011"/>
    <w:pPr>
      <w:tabs>
        <w:tab w:val="center" w:pos="4513"/>
        <w:tab w:val="right" w:pos="9026"/>
      </w:tabs>
    </w:pPr>
    <w:rPr>
      <w:rFonts w:cs="Angsana New"/>
      <w:szCs w:val="40"/>
    </w:rPr>
  </w:style>
  <w:style w:type="character" w:customStyle="1" w:styleId="a6">
    <w:name w:val="ท้ายกระดาษ อักขระ"/>
    <w:basedOn w:val="a0"/>
    <w:link w:val="a5"/>
    <w:uiPriority w:val="99"/>
    <w:rsid w:val="00342011"/>
    <w:rPr>
      <w:rFonts w:ascii="AngsanaUPC" w:eastAsia="Cordia New" w:hAnsi="AngsanaUPC" w:cs="Angsana New"/>
      <w:sz w:val="32"/>
      <w:szCs w:val="40"/>
    </w:rPr>
  </w:style>
  <w:style w:type="character" w:customStyle="1" w:styleId="5yl5">
    <w:name w:val="_5yl5"/>
    <w:rsid w:val="00342011"/>
  </w:style>
  <w:style w:type="table" w:styleId="a7">
    <w:name w:val="Table Grid"/>
    <w:basedOn w:val="a1"/>
    <w:uiPriority w:val="39"/>
    <w:rsid w:val="00611A06"/>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346B9"/>
    <w:pPr>
      <w:ind w:left="720"/>
      <w:contextualSpacing/>
    </w:pPr>
    <w:rPr>
      <w:rFonts w:cs="Angsana New"/>
      <w:szCs w:val="40"/>
    </w:rPr>
  </w:style>
  <w:style w:type="character" w:customStyle="1" w:styleId="20">
    <w:name w:val="หัวเรื่อง 2 อักขระ"/>
    <w:basedOn w:val="a0"/>
    <w:link w:val="2"/>
    <w:uiPriority w:val="9"/>
    <w:semiHidden/>
    <w:rsid w:val="00191BBA"/>
    <w:rPr>
      <w:rFonts w:asciiTheme="majorHAnsi" w:eastAsiaTheme="majorEastAsia" w:hAnsiTheme="majorHAnsi" w:cstheme="majorBidi"/>
      <w:color w:val="2E74B5" w:themeColor="accent1" w:themeShade="BF"/>
      <w:sz w:val="26"/>
      <w:szCs w:val="33"/>
    </w:rPr>
  </w:style>
  <w:style w:type="character" w:styleId="a9">
    <w:name w:val="Strong"/>
    <w:basedOn w:val="a0"/>
    <w:uiPriority w:val="22"/>
    <w:qFormat/>
    <w:rsid w:val="000C2D93"/>
    <w:rPr>
      <w:b/>
      <w:bCs/>
    </w:rPr>
  </w:style>
  <w:style w:type="character" w:customStyle="1" w:styleId="30">
    <w:name w:val="หัวเรื่อง 3 อักขระ"/>
    <w:basedOn w:val="a0"/>
    <w:link w:val="3"/>
    <w:uiPriority w:val="9"/>
    <w:semiHidden/>
    <w:rsid w:val="00391275"/>
    <w:rPr>
      <w:rFonts w:asciiTheme="majorHAnsi" w:eastAsiaTheme="majorEastAsia" w:hAnsiTheme="majorHAnsi" w:cstheme="majorBidi"/>
      <w:color w:val="1F4D78" w:themeColor="accent1" w:themeShade="7F"/>
      <w:sz w:val="24"/>
      <w:szCs w:val="30"/>
    </w:rPr>
  </w:style>
  <w:style w:type="table" w:customStyle="1" w:styleId="1">
    <w:name w:val="เส้นตาราง1"/>
    <w:basedOn w:val="a1"/>
    <w:next w:val="a7"/>
    <w:uiPriority w:val="39"/>
    <w:rsid w:val="00F84123"/>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เส้นตาราง2"/>
    <w:basedOn w:val="a1"/>
    <w:next w:val="a7"/>
    <w:uiPriority w:val="39"/>
    <w:rsid w:val="003473C0"/>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เส้นตาราง3"/>
    <w:basedOn w:val="a1"/>
    <w:next w:val="a7"/>
    <w:uiPriority w:val="39"/>
    <w:rsid w:val="003473C0"/>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E52065"/>
    <w:rPr>
      <w:color w:val="0563C1" w:themeColor="hyperlink"/>
      <w:u w:val="single"/>
    </w:rPr>
  </w:style>
  <w:style w:type="character" w:customStyle="1" w:styleId="10">
    <w:name w:val="การอ้างถึงที่ไม่ได้แก้ไข1"/>
    <w:basedOn w:val="a0"/>
    <w:uiPriority w:val="99"/>
    <w:semiHidden/>
    <w:unhideWhenUsed/>
    <w:rsid w:val="00692487"/>
    <w:rPr>
      <w:color w:val="605E5C"/>
      <w:shd w:val="clear" w:color="auto" w:fill="E1DFDD"/>
    </w:rPr>
  </w:style>
  <w:style w:type="paragraph" w:styleId="ab">
    <w:name w:val="Balloon Text"/>
    <w:basedOn w:val="a"/>
    <w:link w:val="ac"/>
    <w:uiPriority w:val="99"/>
    <w:semiHidden/>
    <w:unhideWhenUsed/>
    <w:rsid w:val="00F442DF"/>
    <w:rPr>
      <w:rFonts w:ascii="Leelawadee" w:hAnsi="Leelawadee" w:cs="Angsana New"/>
      <w:sz w:val="18"/>
      <w:szCs w:val="22"/>
    </w:rPr>
  </w:style>
  <w:style w:type="character" w:customStyle="1" w:styleId="ac">
    <w:name w:val="ข้อความบอลลูน อักขระ"/>
    <w:basedOn w:val="a0"/>
    <w:link w:val="ab"/>
    <w:uiPriority w:val="99"/>
    <w:semiHidden/>
    <w:rsid w:val="00F442DF"/>
    <w:rPr>
      <w:rFonts w:ascii="Leelawadee" w:eastAsia="Cordia New" w:hAnsi="Leelawadee" w:cs="Angsana New"/>
      <w:sz w:val="18"/>
      <w:szCs w:val="22"/>
    </w:rPr>
  </w:style>
  <w:style w:type="character" w:styleId="ad">
    <w:name w:val="FollowedHyperlink"/>
    <w:basedOn w:val="a0"/>
    <w:uiPriority w:val="99"/>
    <w:semiHidden/>
    <w:unhideWhenUsed/>
    <w:rsid w:val="00D9289F"/>
    <w:rPr>
      <w:color w:val="954F72" w:themeColor="followedHyperlink"/>
      <w:u w:val="single"/>
    </w:rPr>
  </w:style>
  <w:style w:type="character" w:customStyle="1" w:styleId="22">
    <w:name w:val="การอ้างถึงที่ไม่ได้แก้ไข2"/>
    <w:basedOn w:val="a0"/>
    <w:uiPriority w:val="99"/>
    <w:semiHidden/>
    <w:unhideWhenUsed/>
    <w:rsid w:val="00EA1BF7"/>
    <w:rPr>
      <w:color w:val="605E5C"/>
      <w:shd w:val="clear" w:color="auto" w:fill="E1DFDD"/>
    </w:rPr>
  </w:style>
  <w:style w:type="table" w:styleId="23">
    <w:name w:val="List Table 2"/>
    <w:basedOn w:val="a1"/>
    <w:uiPriority w:val="47"/>
    <w:rsid w:val="005A1D4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e">
    <w:name w:val="Emphasis"/>
    <w:basedOn w:val="a0"/>
    <w:qFormat/>
    <w:rsid w:val="00525044"/>
    <w:rPr>
      <w:i/>
      <w:iCs/>
    </w:rPr>
  </w:style>
  <w:style w:type="paragraph" w:styleId="af">
    <w:name w:val="Normal (Web)"/>
    <w:basedOn w:val="a"/>
    <w:unhideWhenUsed/>
    <w:rsid w:val="00525044"/>
    <w:pPr>
      <w:spacing w:before="100" w:beforeAutospacing="1" w:after="100" w:afterAutospacing="1"/>
    </w:pPr>
    <w:rPr>
      <w:rFonts w:ascii="Angsana New" w:eastAsia="Times New Roman" w:hAnsi="Angsana New" w:cs="Angsana New"/>
      <w:sz w:val="28"/>
      <w:szCs w:val="28"/>
    </w:rPr>
  </w:style>
  <w:style w:type="paragraph" w:customStyle="1" w:styleId="32">
    <w:name w:val="อักขระ อักขระ3"/>
    <w:basedOn w:val="a"/>
    <w:rsid w:val="00E77D6F"/>
    <w:rPr>
      <w:rFonts w:ascii="Angsana New" w:hAnsi="Angsana New" w:cs="Browallia New"/>
      <w:color w:val="000000"/>
      <w:lang w:eastAsia="zh-CN"/>
    </w:rPr>
  </w:style>
  <w:style w:type="paragraph" w:customStyle="1" w:styleId="CharChar2">
    <w:name w:val="Char Char2"/>
    <w:basedOn w:val="a"/>
    <w:rsid w:val="00B64D7B"/>
    <w:rPr>
      <w:rFonts w:ascii="Browallia New" w:hAnsi="Angsana New" w:cs="Browallia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470657">
      <w:bodyDiv w:val="1"/>
      <w:marLeft w:val="0"/>
      <w:marRight w:val="0"/>
      <w:marTop w:val="0"/>
      <w:marBottom w:val="0"/>
      <w:divBdr>
        <w:top w:val="none" w:sz="0" w:space="0" w:color="auto"/>
        <w:left w:val="none" w:sz="0" w:space="0" w:color="auto"/>
        <w:bottom w:val="none" w:sz="0" w:space="0" w:color="auto"/>
        <w:right w:val="none" w:sz="0" w:space="0" w:color="auto"/>
      </w:divBdr>
      <w:divsChild>
        <w:div w:id="1043942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12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4378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68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1289441">
      <w:bodyDiv w:val="1"/>
      <w:marLeft w:val="0"/>
      <w:marRight w:val="0"/>
      <w:marTop w:val="0"/>
      <w:marBottom w:val="0"/>
      <w:divBdr>
        <w:top w:val="none" w:sz="0" w:space="0" w:color="auto"/>
        <w:left w:val="none" w:sz="0" w:space="0" w:color="auto"/>
        <w:bottom w:val="none" w:sz="0" w:space="0" w:color="auto"/>
        <w:right w:val="none" w:sz="0" w:space="0" w:color="auto"/>
      </w:divBdr>
      <w:divsChild>
        <w:div w:id="1475559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025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911352">
      <w:bodyDiv w:val="1"/>
      <w:marLeft w:val="0"/>
      <w:marRight w:val="0"/>
      <w:marTop w:val="0"/>
      <w:marBottom w:val="0"/>
      <w:divBdr>
        <w:top w:val="none" w:sz="0" w:space="0" w:color="auto"/>
        <w:left w:val="none" w:sz="0" w:space="0" w:color="auto"/>
        <w:bottom w:val="none" w:sz="0" w:space="0" w:color="auto"/>
        <w:right w:val="none" w:sz="0" w:space="0" w:color="auto"/>
      </w:divBdr>
      <w:divsChild>
        <w:div w:id="1289580746">
          <w:blockQuote w:val="1"/>
          <w:marLeft w:val="720"/>
          <w:marRight w:val="720"/>
          <w:marTop w:val="100"/>
          <w:marBottom w:val="100"/>
          <w:divBdr>
            <w:top w:val="none" w:sz="0" w:space="0" w:color="auto"/>
            <w:left w:val="none" w:sz="0" w:space="0" w:color="auto"/>
            <w:bottom w:val="none" w:sz="0" w:space="0" w:color="auto"/>
            <w:right w:val="none" w:sz="0" w:space="0" w:color="auto"/>
          </w:divBdr>
        </w:div>
        <w:div w:id="661197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630094">
      <w:bodyDiv w:val="1"/>
      <w:marLeft w:val="0"/>
      <w:marRight w:val="0"/>
      <w:marTop w:val="0"/>
      <w:marBottom w:val="0"/>
      <w:divBdr>
        <w:top w:val="none" w:sz="0" w:space="0" w:color="auto"/>
        <w:left w:val="none" w:sz="0" w:space="0" w:color="auto"/>
        <w:bottom w:val="none" w:sz="0" w:space="0" w:color="auto"/>
        <w:right w:val="none" w:sz="0" w:space="0" w:color="auto"/>
      </w:divBdr>
    </w:div>
    <w:div w:id="1832409398">
      <w:bodyDiv w:val="1"/>
      <w:marLeft w:val="0"/>
      <w:marRight w:val="0"/>
      <w:marTop w:val="0"/>
      <w:marBottom w:val="0"/>
      <w:divBdr>
        <w:top w:val="none" w:sz="0" w:space="0" w:color="auto"/>
        <w:left w:val="none" w:sz="0" w:space="0" w:color="auto"/>
        <w:bottom w:val="none" w:sz="0" w:space="0" w:color="auto"/>
        <w:right w:val="none" w:sz="0" w:space="0" w:color="auto"/>
      </w:divBdr>
      <w:divsChild>
        <w:div w:id="135293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1.@%5eD%5e@\3.&#3619;&#3632;&#3610;&#3610;&#3648;&#3629;&#3585;&#3626;&#3634;&#3619;&#3619;&#3623;&#3617;&#3648;&#3621;&#3656;&#3617;&#3610;&#3633;&#3603;&#3601;&#3636;&#3605;\&#3623;&#3634;&#3619;&#3626;&#3634;&#3619;\Format%20Journal%202566\Template%20&#3610;&#3607;&#3588;&#3623;&#3634;&#3617;&#3623;&#3636;&#3594;&#3585;&#3634;&#3619;.dotx"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C731D-B575-4530-9718-58B0C07D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บทความวิชการ</Template>
  <TotalTime>2</TotalTime>
  <Pages>9</Pages>
  <Words>3533</Words>
  <Characters>20144</Characters>
  <Application>Microsoft Office Word</Application>
  <DocSecurity>0</DocSecurity>
  <Lines>167</Lines>
  <Paragraphs>47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Lenovo01</dc:creator>
  <cp:keywords/>
  <dc:description/>
  <cp:lastModifiedBy>ADMIN</cp:lastModifiedBy>
  <cp:revision>4</cp:revision>
  <cp:lastPrinted>2026-10-21T05:52:00Z</cp:lastPrinted>
  <dcterms:created xsi:type="dcterms:W3CDTF">2026-10-21T05:52:00Z</dcterms:created>
  <dcterms:modified xsi:type="dcterms:W3CDTF">2026-10-21T16:38:00Z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73fffd7d-44d6-4f58-9a81-61b3de3f663b</vt:lpwstr>
  </property>
</Properties>
</file>