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B651F9" w14:textId="77777777" w:rsidR="00F744D0" w:rsidRDefault="00000000" w:rsidP="000F4838">
      <w:pPr>
        <w:widowControl w:val="0"/>
        <w:spacing w:line="192" w:lineRule="auto"/>
        <w:jc w:val="center"/>
        <w:rPr>
          <w:rFonts w:ascii="Times New Roman" w:hAnsi="Times New Roman" w:cs="Times New Roman"/>
          <w:b/>
          <w:kern w:val="2"/>
          <w:sz w:val="28"/>
          <w:szCs w:val="28"/>
          <w:lang w:bidi="ar-SA"/>
        </w:rPr>
      </w:pPr>
      <w:r>
        <w:rPr>
          <w:rFonts w:ascii="Times New Roman" w:hAnsi="Times New Roman" w:cs="Times New Roman"/>
          <w:b/>
          <w:kern w:val="2"/>
          <w:sz w:val="28"/>
          <w:szCs w:val="28"/>
          <w:lang w:eastAsia="ko-KR" w:bidi="ar-SA"/>
        </w:rPr>
        <w:t>The Effectiveness of a Practical Framework Under the</w:t>
      </w:r>
      <w:r w:rsidR="00F744D0">
        <w:rPr>
          <w:rFonts w:ascii="Times New Roman" w:hAnsi="Times New Roman" w:cs="Times New Roman"/>
          <w:b/>
          <w:kern w:val="2"/>
          <w:sz w:val="28"/>
          <w:szCs w:val="28"/>
          <w:lang w:bidi="ar-SA"/>
        </w:rPr>
        <w:t xml:space="preserve"> </w:t>
      </w:r>
      <w:r>
        <w:rPr>
          <w:rFonts w:ascii="Times New Roman" w:hAnsi="Times New Roman" w:cs="Times New Roman"/>
          <w:b/>
          <w:kern w:val="2"/>
          <w:sz w:val="28"/>
          <w:szCs w:val="28"/>
          <w:lang w:eastAsia="ko-KR" w:bidi="ar-SA"/>
        </w:rPr>
        <w:t>Growing Circle</w:t>
      </w:r>
      <w:r>
        <w:rPr>
          <w:rFonts w:ascii="Times New Roman" w:hAnsi="Times New Roman" w:cs="Times New Roman" w:hint="eastAsia"/>
          <w:b/>
          <w:kern w:val="2"/>
          <w:sz w:val="28"/>
          <w:szCs w:val="28"/>
          <w:lang w:bidi="ar-SA"/>
        </w:rPr>
        <w:t xml:space="preserve"> </w:t>
      </w:r>
      <w:r>
        <w:rPr>
          <w:rFonts w:ascii="Times New Roman" w:hAnsi="Times New Roman" w:cs="Times New Roman"/>
          <w:b/>
          <w:kern w:val="2"/>
          <w:sz w:val="28"/>
          <w:szCs w:val="28"/>
          <w:lang w:eastAsia="ko-KR" w:bidi="ar-SA"/>
        </w:rPr>
        <w:t xml:space="preserve">Theory Through the Aesthetic Education of </w:t>
      </w:r>
      <w:r>
        <w:rPr>
          <w:rFonts w:ascii="Times New Roman" w:hAnsi="Times New Roman" w:cs="Times New Roman" w:hint="eastAsia"/>
          <w:b/>
          <w:kern w:val="2"/>
          <w:sz w:val="28"/>
          <w:szCs w:val="28"/>
          <w:lang w:bidi="ar-SA"/>
        </w:rPr>
        <w:t xml:space="preserve">Advertising </w:t>
      </w:r>
    </w:p>
    <w:p w14:paraId="090B5784" w14:textId="5963B44A" w:rsidR="00C743AC" w:rsidRDefault="00000000" w:rsidP="000F4838">
      <w:pPr>
        <w:widowControl w:val="0"/>
        <w:spacing w:line="192" w:lineRule="auto"/>
        <w:jc w:val="center"/>
        <w:rPr>
          <w:rFonts w:ascii="Times New Roman" w:hAnsi="Times New Roman" w:cs="Times New Roman"/>
          <w:b/>
          <w:sz w:val="28"/>
          <w:szCs w:val="28"/>
        </w:rPr>
      </w:pPr>
      <w:r>
        <w:rPr>
          <w:rFonts w:ascii="Times New Roman" w:hAnsi="Times New Roman" w:cs="Times New Roman" w:hint="eastAsia"/>
          <w:b/>
          <w:kern w:val="2"/>
          <w:sz w:val="28"/>
          <w:szCs w:val="28"/>
          <w:lang w:bidi="ar-SA"/>
        </w:rPr>
        <w:t>Art Design</w:t>
      </w:r>
      <w:r>
        <w:rPr>
          <w:rFonts w:ascii="Times New Roman" w:hAnsi="Times New Roman" w:cs="Times New Roman"/>
          <w:b/>
          <w:kern w:val="2"/>
          <w:sz w:val="28"/>
          <w:szCs w:val="28"/>
          <w:lang w:eastAsia="ko-KR" w:bidi="ar-SA"/>
        </w:rPr>
        <w:t xml:space="preserve"> Students in Guizhou Urban Vocational College</w:t>
      </w:r>
      <w:r w:rsidR="000F4838">
        <w:rPr>
          <w:rFonts w:ascii="Times New Roman" w:hAnsi="Times New Roman" w:cs="Times New Roman"/>
          <w:b/>
          <w:sz w:val="28"/>
          <w:szCs w:val="28"/>
        </w:rPr>
        <w:t>.</w:t>
      </w:r>
    </w:p>
    <w:p w14:paraId="46339805" w14:textId="64ABC801" w:rsidR="000F4838" w:rsidRPr="000F4838" w:rsidRDefault="000F4838" w:rsidP="000F4838">
      <w:pPr>
        <w:jc w:val="center"/>
        <w:rPr>
          <w:rFonts w:ascii="Times New Roman" w:eastAsia="SimSun" w:hAnsi="Times New Roman" w:cs="Times New Roman"/>
          <w:color w:val="000000"/>
          <w:sz w:val="20"/>
          <w:szCs w:val="20"/>
          <w:lang w:bidi="ar"/>
        </w:rPr>
      </w:pPr>
      <w:proofErr w:type="spellStart"/>
      <w:r>
        <w:rPr>
          <w:rFonts w:ascii="Times New Roman" w:eastAsia="SimSun" w:hAnsi="Times New Roman" w:cs="Times New Roman" w:hint="eastAsia"/>
          <w:color w:val="000000"/>
          <w:sz w:val="20"/>
          <w:szCs w:val="20"/>
          <w:lang w:bidi="ar"/>
        </w:rPr>
        <w:t>Tianjing</w:t>
      </w:r>
      <w:proofErr w:type="spellEnd"/>
      <w:r>
        <w:rPr>
          <w:rFonts w:ascii="Times New Roman" w:eastAsia="SimSun" w:hAnsi="Times New Roman" w:cs="Times New Roman" w:hint="eastAsia"/>
          <w:color w:val="000000"/>
          <w:sz w:val="20"/>
          <w:szCs w:val="20"/>
          <w:lang w:bidi="ar"/>
        </w:rPr>
        <w:t xml:space="preserve"> Wang</w:t>
      </w:r>
      <w:r w:rsidRPr="004A1529">
        <w:rPr>
          <w:iCs/>
          <w:szCs w:val="30"/>
          <w:vertAlign w:val="superscript"/>
        </w:rPr>
        <w:t>1</w:t>
      </w:r>
      <w:r>
        <w:rPr>
          <w:rFonts w:ascii="Times New Roman" w:eastAsia="SimSun" w:hAnsi="Times New Roman" w:cs="Times New Roman" w:hint="eastAsia"/>
          <w:color w:val="000000"/>
          <w:sz w:val="20"/>
          <w:szCs w:val="20"/>
          <w:lang w:bidi="ar"/>
        </w:rPr>
        <w:t>Thanaphan Boonyaratklin</w:t>
      </w:r>
      <w:r>
        <w:rPr>
          <w:iCs/>
          <w:szCs w:val="30"/>
          <w:vertAlign w:val="superscript"/>
        </w:rPr>
        <w:t>2</w:t>
      </w:r>
      <w:r>
        <w:rPr>
          <w:rFonts w:ascii="Times New Roman" w:eastAsia="SimSun" w:hAnsi="Times New Roman" w:cs="Times New Roman" w:hint="eastAsia"/>
          <w:color w:val="000000"/>
          <w:sz w:val="20"/>
          <w:szCs w:val="20"/>
          <w:lang w:bidi="ar"/>
        </w:rPr>
        <w:t xml:space="preserve"> </w:t>
      </w:r>
    </w:p>
    <w:p w14:paraId="1A3F52B2" w14:textId="4E2E9487" w:rsidR="00FB6B9F" w:rsidRPr="00862AB4" w:rsidRDefault="00FB6B9F" w:rsidP="00FB6B9F">
      <w:pPr>
        <w:jc w:val="center"/>
        <w:rPr>
          <w:rFonts w:ascii="Times New Roman" w:eastAsia="SimSun" w:hAnsi="Times New Roman" w:cs="Times New Roman"/>
          <w:color w:val="000000"/>
          <w:sz w:val="22"/>
          <w:szCs w:val="22"/>
          <w:lang w:bidi="ar"/>
        </w:rPr>
      </w:pPr>
      <w:r w:rsidRPr="00862AB4">
        <w:rPr>
          <w:rFonts w:ascii="Times New Roman" w:eastAsia="SimSun" w:hAnsi="Times New Roman" w:cs="Times New Roman" w:hint="eastAsia"/>
          <w:color w:val="000000"/>
          <w:sz w:val="22"/>
          <w:szCs w:val="22"/>
          <w:lang w:bidi="ar"/>
        </w:rPr>
        <w:t>Guizhou Urban Vocational College, China</w:t>
      </w:r>
      <w:r w:rsidR="000F4838" w:rsidRPr="004A1529">
        <w:rPr>
          <w:iCs/>
          <w:szCs w:val="30"/>
          <w:vertAlign w:val="superscript"/>
        </w:rPr>
        <w:t>1</w:t>
      </w:r>
    </w:p>
    <w:p w14:paraId="284BC2C9" w14:textId="0FED3431" w:rsidR="00C743AC" w:rsidRPr="00862AB4" w:rsidRDefault="00FB6B9F" w:rsidP="00FB6B9F">
      <w:pPr>
        <w:jc w:val="center"/>
        <w:rPr>
          <w:rFonts w:ascii="Times New Roman" w:eastAsia="SimSun" w:hAnsi="Times New Roman" w:cs="Times New Roman"/>
          <w:color w:val="000000"/>
          <w:sz w:val="22"/>
          <w:szCs w:val="22"/>
          <w:lang w:bidi="ar"/>
        </w:rPr>
      </w:pPr>
      <w:r w:rsidRPr="00862AB4">
        <w:rPr>
          <w:rFonts w:ascii="Times New Roman" w:eastAsia="SimSun" w:hAnsi="Times New Roman" w:cs="Times New Roman"/>
          <w:color w:val="000000"/>
          <w:sz w:val="22"/>
          <w:szCs w:val="22"/>
          <w:lang w:bidi="ar"/>
        </w:rPr>
        <w:t>Shinawatra University, Faculty of</w:t>
      </w:r>
      <w:r w:rsidRPr="00862AB4">
        <w:rPr>
          <w:rFonts w:ascii="Times New Roman" w:eastAsia="SimSun" w:hAnsi="Times New Roman" w:cs="Times New Roman" w:hint="eastAsia"/>
          <w:color w:val="000000"/>
          <w:sz w:val="22"/>
          <w:szCs w:val="22"/>
          <w:lang w:bidi="ar"/>
        </w:rPr>
        <w:t xml:space="preserve"> </w:t>
      </w:r>
      <w:r w:rsidRPr="00862AB4">
        <w:rPr>
          <w:rFonts w:ascii="Times New Roman" w:eastAsia="SimSun" w:hAnsi="Times New Roman" w:cs="Times New Roman"/>
          <w:color w:val="000000"/>
          <w:sz w:val="22"/>
          <w:szCs w:val="22"/>
          <w:lang w:bidi="ar"/>
        </w:rPr>
        <w:t>Liberal Arts, Thailand</w:t>
      </w:r>
      <w:r w:rsidR="000F4838">
        <w:rPr>
          <w:iCs/>
          <w:szCs w:val="30"/>
          <w:vertAlign w:val="superscript"/>
        </w:rPr>
        <w:t>2</w:t>
      </w:r>
      <w:r w:rsidRPr="00862AB4">
        <w:rPr>
          <w:rFonts w:ascii="Times New Roman" w:eastAsia="SimSun" w:hAnsi="Times New Roman" w:cs="Times New Roman" w:hint="eastAsia"/>
          <w:color w:val="000000"/>
          <w:sz w:val="22"/>
          <w:szCs w:val="22"/>
          <w:lang w:bidi="ar"/>
        </w:rPr>
        <w:t xml:space="preserve"> </w:t>
      </w:r>
    </w:p>
    <w:p w14:paraId="7F2F4986" w14:textId="77777777" w:rsidR="00C743AC" w:rsidRDefault="00C743AC">
      <w:pPr>
        <w:jc w:val="center"/>
        <w:rPr>
          <w:rFonts w:ascii="Times New Roman" w:eastAsia="SimSun" w:hAnsi="Times New Roman" w:cs="Times New Roman"/>
          <w:color w:val="000000"/>
          <w:sz w:val="21"/>
          <w:szCs w:val="21"/>
          <w:lang w:bidi="ar"/>
        </w:rPr>
      </w:pPr>
    </w:p>
    <w:p w14:paraId="0D4DD0C1" w14:textId="77777777" w:rsidR="00F744D0" w:rsidRPr="00F744D0" w:rsidRDefault="00000000">
      <w:pPr>
        <w:jc w:val="both"/>
        <w:rPr>
          <w:rFonts w:ascii="Times New Roman" w:eastAsia="SimSun" w:hAnsi="Times New Roman" w:cs="Times New Roman"/>
          <w:b/>
          <w:bCs/>
          <w:lang w:bidi="ar-SA"/>
        </w:rPr>
      </w:pPr>
      <w:r w:rsidRPr="00F744D0">
        <w:rPr>
          <w:rFonts w:ascii="Times New Roman" w:eastAsia="SimSun" w:hAnsi="Times New Roman" w:cs="Times New Roman"/>
          <w:b/>
          <w:bCs/>
          <w:lang w:bidi="ar-SA"/>
        </w:rPr>
        <w:t>ABSTRACT</w:t>
      </w:r>
    </w:p>
    <w:p w14:paraId="54249875" w14:textId="302B6EFE" w:rsidR="00C743AC" w:rsidRPr="005F22FF" w:rsidRDefault="00000000">
      <w:pPr>
        <w:jc w:val="both"/>
        <w:rPr>
          <w:rFonts w:ascii="Times New Roman" w:eastAsia="SimSun" w:hAnsi="Times New Roman" w:cs="Times New Roman"/>
          <w:sz w:val="22"/>
          <w:szCs w:val="22"/>
          <w:lang w:bidi="ar-SA"/>
        </w:rPr>
      </w:pPr>
      <w:r w:rsidRPr="005F22FF">
        <w:rPr>
          <w:rFonts w:ascii="Times New Roman" w:eastAsia="SimSun" w:hAnsi="Times New Roman" w:cs="Times New Roman"/>
          <w:sz w:val="22"/>
          <w:szCs w:val="22"/>
          <w:lang w:bidi="ar-SA"/>
        </w:rPr>
        <w:t>This study aimed to verify the effectiveness of a practical framework based on the "Growing Circle" theory in aesthetic education for Advertising Art Design students at Guizhou Urban Vocational College, and explore differentiated effects across student characteristics. A mixed-methods research design was adopted, involving 195 students (39 freshmen, 73 sophomores, 83 juniors) through stratified random sampling. Quantitative data were collected via questionnaires and artwork evaluations, analyzed using SPSS 26.0 for descriptive statistics, t-tests, and ANOVA; qualitative data were obtained from semi-structured interviews with 28 typical students. Results indicated the framework achieved a moderate-to-high effectiveness level (overall mean &gt; 3.6), with the highest improvement in aesthetic inclusiveness (M=3.72) and significant differences across grades, professional foundations, and genders (p&lt;.05). Key constraints included insufficient hierarchical teaching and theory-practice disconnection. Corresponding optimization strategies were proposed, providing operable guidance for vocational college aesthetic education reform.</w:t>
      </w:r>
    </w:p>
    <w:p w14:paraId="1AF9A73C" w14:textId="77777777" w:rsidR="00C743AC" w:rsidRDefault="00C743AC">
      <w:pPr>
        <w:jc w:val="both"/>
        <w:rPr>
          <w:rFonts w:ascii="Times New Roman" w:eastAsia="SimSun" w:hAnsi="Times New Roman" w:cs="Times New Roman"/>
          <w:sz w:val="20"/>
          <w:szCs w:val="20"/>
          <w:lang w:bidi="ar-SA"/>
        </w:rPr>
      </w:pPr>
    </w:p>
    <w:p w14:paraId="76915D65" w14:textId="644DEAE4" w:rsidR="00C743AC" w:rsidRPr="00F744D0" w:rsidRDefault="00000000" w:rsidP="00CC578E">
      <w:pPr>
        <w:rPr>
          <w:rFonts w:ascii="Times New Roman" w:eastAsia="SimSun" w:hAnsi="Times New Roman" w:cs="Times New Roman"/>
          <w:sz w:val="22"/>
          <w:szCs w:val="22"/>
          <w:lang w:bidi="ar-SA"/>
        </w:rPr>
      </w:pPr>
      <w:r w:rsidRPr="00F744D0">
        <w:rPr>
          <w:rFonts w:ascii="Times New Roman" w:eastAsia="SimSun" w:hAnsi="Times New Roman" w:cs="Times New Roman"/>
          <w:b/>
          <w:bCs/>
          <w:lang w:bidi="ar-SA"/>
        </w:rPr>
        <w:t>Keywords:</w:t>
      </w:r>
      <w:r>
        <w:rPr>
          <w:rFonts w:ascii="Times New Roman" w:eastAsia="SimSun" w:hAnsi="Times New Roman" w:cs="Times New Roman"/>
          <w:sz w:val="20"/>
          <w:szCs w:val="20"/>
          <w:lang w:bidi="ar-SA"/>
        </w:rPr>
        <w:t xml:space="preserve"> </w:t>
      </w:r>
      <w:r w:rsidRPr="00F744D0">
        <w:rPr>
          <w:rFonts w:ascii="Times New Roman" w:eastAsia="SimSun" w:hAnsi="Times New Roman" w:cs="Times New Roman"/>
          <w:sz w:val="22"/>
          <w:szCs w:val="22"/>
          <w:lang w:bidi="ar-SA"/>
        </w:rPr>
        <w:t>Growing Circle Theory</w:t>
      </w:r>
      <w:r w:rsidR="00CC578E">
        <w:rPr>
          <w:rFonts w:ascii="Times New Roman" w:eastAsia="SimSun" w:hAnsi="Times New Roman" w:cstheme="minorBidi" w:hint="cs"/>
          <w:sz w:val="22"/>
          <w:szCs w:val="28"/>
          <w:cs/>
        </w:rPr>
        <w:t>,</w:t>
      </w:r>
      <w:r w:rsidRPr="00F744D0">
        <w:rPr>
          <w:rFonts w:ascii="Times New Roman" w:eastAsia="SimSun" w:hAnsi="Times New Roman" w:cs="Times New Roman"/>
          <w:sz w:val="22"/>
          <w:szCs w:val="22"/>
          <w:lang w:bidi="ar-SA"/>
        </w:rPr>
        <w:t xml:space="preserve"> Aesthetic Education</w:t>
      </w:r>
      <w:r w:rsidR="00CC578E">
        <w:rPr>
          <w:rFonts w:ascii="Times New Roman" w:eastAsia="SimSun" w:hAnsi="Times New Roman" w:cstheme="minorBidi" w:hint="cs"/>
          <w:sz w:val="22"/>
          <w:szCs w:val="28"/>
          <w:cs/>
        </w:rPr>
        <w:t>,</w:t>
      </w:r>
      <w:r w:rsidRPr="00F744D0">
        <w:rPr>
          <w:rFonts w:ascii="Times New Roman" w:eastAsia="SimSun" w:hAnsi="Times New Roman" w:cs="Times New Roman"/>
          <w:sz w:val="22"/>
          <w:szCs w:val="22"/>
          <w:lang w:bidi="ar-SA"/>
        </w:rPr>
        <w:t xml:space="preserve"> Advertising Art Design</w:t>
      </w:r>
      <w:r w:rsidR="00CC578E">
        <w:rPr>
          <w:rFonts w:ascii="Times New Roman" w:eastAsia="SimSun" w:hAnsi="Times New Roman" w:cstheme="minorBidi" w:hint="cs"/>
          <w:sz w:val="22"/>
          <w:szCs w:val="28"/>
          <w:cs/>
        </w:rPr>
        <w:t>,</w:t>
      </w:r>
      <w:r w:rsidR="00CC578E" w:rsidRPr="00F744D0">
        <w:rPr>
          <w:rFonts w:ascii="Times New Roman" w:eastAsia="SimSun" w:hAnsi="Times New Roman" w:cs="Times New Roman"/>
          <w:sz w:val="22"/>
          <w:szCs w:val="22"/>
          <w:lang w:bidi="ar-SA"/>
        </w:rPr>
        <w:t xml:space="preserve"> </w:t>
      </w:r>
      <w:r w:rsidRPr="00F744D0">
        <w:rPr>
          <w:rFonts w:ascii="Times New Roman" w:eastAsia="SimSun" w:hAnsi="Times New Roman" w:cs="Times New Roman"/>
          <w:sz w:val="22"/>
          <w:szCs w:val="22"/>
          <w:lang w:bidi="ar-SA"/>
        </w:rPr>
        <w:t>Vocational College Students</w:t>
      </w:r>
      <w:r w:rsidR="00CC578E">
        <w:rPr>
          <w:rFonts w:ascii="Times New Roman" w:eastAsia="SimSun" w:hAnsi="Times New Roman" w:cstheme="minorBidi" w:hint="cs"/>
          <w:sz w:val="22"/>
          <w:szCs w:val="28"/>
          <w:cs/>
        </w:rPr>
        <w:t>,</w:t>
      </w:r>
      <w:r w:rsidR="00CC578E" w:rsidRPr="00F744D0">
        <w:rPr>
          <w:rFonts w:ascii="Times New Roman" w:eastAsia="SimSun" w:hAnsi="Times New Roman" w:cs="Times New Roman"/>
          <w:sz w:val="22"/>
          <w:szCs w:val="22"/>
          <w:lang w:bidi="ar-SA"/>
        </w:rPr>
        <w:t xml:space="preserve"> </w:t>
      </w:r>
      <w:r w:rsidRPr="00F744D0">
        <w:rPr>
          <w:rFonts w:ascii="Times New Roman" w:eastAsia="SimSun" w:hAnsi="Times New Roman" w:cs="Times New Roman"/>
          <w:sz w:val="22"/>
          <w:szCs w:val="22"/>
          <w:lang w:bidi="ar-SA"/>
        </w:rPr>
        <w:t>Practical Framework</w:t>
      </w:r>
      <w:r w:rsidR="00CC578E">
        <w:rPr>
          <w:rFonts w:ascii="Times New Roman" w:eastAsia="SimSun" w:hAnsi="Times New Roman" w:cstheme="minorBidi" w:hint="cs"/>
          <w:sz w:val="22"/>
          <w:szCs w:val="28"/>
          <w:cs/>
        </w:rPr>
        <w:t xml:space="preserve">, </w:t>
      </w:r>
      <w:r w:rsidRPr="00F744D0">
        <w:rPr>
          <w:rFonts w:ascii="Times New Roman" w:eastAsia="SimSun" w:hAnsi="Times New Roman" w:cs="Times New Roman"/>
          <w:sz w:val="22"/>
          <w:szCs w:val="22"/>
          <w:lang w:bidi="ar-SA"/>
        </w:rPr>
        <w:t xml:space="preserve">Resilience </w:t>
      </w:r>
    </w:p>
    <w:p w14:paraId="41B8D929" w14:textId="77777777" w:rsidR="00C743AC" w:rsidRDefault="00C743AC">
      <w:pPr>
        <w:jc w:val="both"/>
        <w:rPr>
          <w:rFonts w:ascii="Times New Roman" w:eastAsia="SimSun" w:hAnsi="Times New Roman" w:cs="Times New Roman"/>
          <w:sz w:val="20"/>
          <w:szCs w:val="20"/>
          <w:lang w:bidi="ar-SA"/>
        </w:rPr>
      </w:pPr>
    </w:p>
    <w:p w14:paraId="6B6FE244" w14:textId="77777777" w:rsidR="00C743AC" w:rsidRPr="00F744D0" w:rsidRDefault="00000000">
      <w:pPr>
        <w:jc w:val="both"/>
        <w:rPr>
          <w:rFonts w:ascii="Times New Roman" w:eastAsia="SimSun" w:hAnsi="Times New Roman" w:cs="Times New Roman"/>
          <w:b/>
          <w:bCs/>
          <w:sz w:val="22"/>
          <w:szCs w:val="22"/>
          <w:lang w:bidi="ar-SA"/>
        </w:rPr>
      </w:pPr>
      <w:r w:rsidRPr="00F744D0">
        <w:rPr>
          <w:rFonts w:ascii="Times New Roman" w:eastAsia="SimSun" w:hAnsi="Times New Roman" w:cs="Times New Roman"/>
          <w:b/>
          <w:bCs/>
          <w:lang w:bidi="ar-SA"/>
        </w:rPr>
        <w:t>INTRODUCTION</w:t>
      </w:r>
      <w:r w:rsidRPr="00F744D0">
        <w:rPr>
          <w:rFonts w:ascii="Times New Roman" w:eastAsia="SimSun" w:hAnsi="Times New Roman" w:cs="Times New Roman"/>
          <w:b/>
          <w:bCs/>
          <w:sz w:val="22"/>
          <w:szCs w:val="22"/>
          <w:lang w:bidi="ar-SA"/>
        </w:rPr>
        <w:t xml:space="preserve"> </w:t>
      </w:r>
    </w:p>
    <w:p w14:paraId="3E484BE1" w14:textId="691C2899" w:rsidR="00C743AC" w:rsidRPr="00F744D0" w:rsidRDefault="00000000">
      <w:pPr>
        <w:jc w:val="both"/>
        <w:rPr>
          <w:rFonts w:ascii="Times New Roman" w:eastAsia="SimSun" w:hAnsi="Times New Roman" w:cs="Times New Roman"/>
          <w:sz w:val="22"/>
          <w:szCs w:val="22"/>
          <w:lang w:bidi="ar-SA"/>
        </w:rPr>
      </w:pPr>
      <w:r w:rsidRPr="00F744D0">
        <w:rPr>
          <w:rFonts w:ascii="Times New Roman" w:eastAsia="SimSun" w:hAnsi="Times New Roman" w:cs="Times New Roman"/>
          <w:sz w:val="22"/>
          <w:szCs w:val="22"/>
          <w:lang w:bidi="ar-SA"/>
        </w:rPr>
        <w:t>In China’s deepening quality-oriented education reform, aesthetic education has emerged as a core component of comprehensive talent cultivation, valued for its dual role in enhancing artistic literacy and shaping psychological resilience (Li &amp; Wang, 2025; Ministry of Education of China, 2025). For Advertising Art Design students in vocational colleges, who face increasing industry demands for creative inclusiveness and frustration tolerance, traditional "geometric perfection" aesthetic education</w:t>
      </w:r>
      <w:r w:rsidR="005F22FF">
        <w:rPr>
          <w:rFonts w:ascii="Times New Roman" w:eastAsia="SimSun" w:hAnsi="Times New Roman" w:cs="Times New Roman"/>
          <w:sz w:val="22"/>
          <w:szCs w:val="22"/>
          <w:lang w:bidi="ar-SA"/>
        </w:rPr>
        <w:t xml:space="preserve"> </w:t>
      </w:r>
      <w:r w:rsidRPr="00F744D0">
        <w:rPr>
          <w:rFonts w:ascii="Times New Roman" w:eastAsia="SimSun" w:hAnsi="Times New Roman" w:cs="Times New Roman"/>
          <w:sz w:val="22"/>
          <w:szCs w:val="22"/>
          <w:lang w:bidi="ar-SA"/>
        </w:rPr>
        <w:t>overemphasizing standardized skills while neglecting psychological growth</w:t>
      </w:r>
      <w:r w:rsidR="005F22FF">
        <w:rPr>
          <w:rFonts w:ascii="Times New Roman" w:eastAsia="SimSun" w:hAnsi="Times New Roman" w:cs="Times New Roman"/>
          <w:sz w:val="22"/>
          <w:szCs w:val="22"/>
          <w:lang w:bidi="ar-SA"/>
        </w:rPr>
        <w:t xml:space="preserve"> </w:t>
      </w:r>
      <w:r w:rsidRPr="00F744D0">
        <w:rPr>
          <w:rFonts w:ascii="Times New Roman" w:eastAsia="SimSun" w:hAnsi="Times New Roman" w:cs="Times New Roman"/>
          <w:sz w:val="22"/>
          <w:szCs w:val="22"/>
          <w:lang w:bidi="ar-SA"/>
        </w:rPr>
        <w:t>has become inadequate (Zhang, 2025).</w:t>
      </w:r>
    </w:p>
    <w:p w14:paraId="7693D645" w14:textId="77777777" w:rsidR="00C743AC" w:rsidRPr="00F744D0" w:rsidRDefault="00000000">
      <w:pPr>
        <w:jc w:val="both"/>
        <w:rPr>
          <w:rFonts w:ascii="Times New Roman" w:eastAsia="SimSun" w:hAnsi="Times New Roman" w:cs="Times New Roman"/>
          <w:sz w:val="22"/>
          <w:szCs w:val="22"/>
          <w:lang w:bidi="ar-SA"/>
        </w:rPr>
      </w:pPr>
      <w:r w:rsidRPr="00F744D0">
        <w:rPr>
          <w:rFonts w:ascii="Times New Roman" w:eastAsia="SimSun" w:hAnsi="Times New Roman" w:cs="Times New Roman"/>
          <w:sz w:val="22"/>
          <w:szCs w:val="22"/>
          <w:lang w:bidi="ar-SA"/>
        </w:rPr>
        <w:t xml:space="preserve">The "Growing Circle" theory, centered on "facing imperfection, accepting imperfection, and polishing imperfection", aligns with the reform needs of vocational aesthetic education. It guides individuals to achieve psychological maturity and ability improvement through embracing flaws, which is particularly relevant for students navigating professional skill development and psychological maturation (Chen et al., 2025). However, existing research lacks targeted empirical verification of this theory in vocational Advertising Art Design </w:t>
      </w:r>
      <w:r w:rsidRPr="00F744D0">
        <w:rPr>
          <w:rFonts w:ascii="Times New Roman" w:eastAsia="SimSun" w:hAnsi="Times New Roman" w:cs="Times New Roman"/>
          <w:sz w:val="22"/>
          <w:szCs w:val="22"/>
          <w:lang w:bidi="ar-SA"/>
        </w:rPr>
        <w:lastRenderedPageBreak/>
        <w:t>education, and no complete practical framework has been established to bridge theoretical concepts with classroom practice (Zhang Lei, 2025; Smith, 2025).</w:t>
      </w:r>
    </w:p>
    <w:p w14:paraId="2090059C" w14:textId="776A847C" w:rsidR="00C743AC" w:rsidRPr="00F744D0" w:rsidRDefault="00000000">
      <w:pPr>
        <w:jc w:val="both"/>
        <w:rPr>
          <w:rFonts w:ascii="Times New Roman" w:eastAsia="SimSun" w:hAnsi="Times New Roman" w:cs="Times New Roman"/>
          <w:sz w:val="22"/>
          <w:szCs w:val="22"/>
          <w:lang w:bidi="ar-SA"/>
        </w:rPr>
      </w:pPr>
      <w:r w:rsidRPr="00F744D0">
        <w:rPr>
          <w:rFonts w:ascii="Times New Roman" w:eastAsia="SimSun" w:hAnsi="Times New Roman" w:cs="Times New Roman"/>
          <w:sz w:val="22"/>
          <w:szCs w:val="22"/>
          <w:lang w:bidi="ar-SA"/>
        </w:rPr>
        <w:t xml:space="preserve">To address this gap, this study constructed a four-stage practical framework (Cognitive Acceptance → Practical Trial and Error → Reflective Optimization → Growth Upgrade) based on the "Growing Circle" theory. By verifying its effectiveness and analyzing influencing factors, this research aims to provide </w:t>
      </w:r>
      <w:r w:rsidR="005F22FF">
        <w:rPr>
          <w:rFonts w:ascii="Times New Roman" w:eastAsia="SimSun" w:hAnsi="Times New Roman" w:cs="Times New Roman"/>
          <w:sz w:val="22"/>
          <w:szCs w:val="22"/>
          <w:lang w:bidi="ar-SA"/>
        </w:rPr>
        <w:t xml:space="preserve">a </w:t>
      </w:r>
      <w:r w:rsidRPr="00F744D0">
        <w:rPr>
          <w:rFonts w:ascii="Times New Roman" w:eastAsia="SimSun" w:hAnsi="Times New Roman" w:cs="Times New Roman"/>
          <w:sz w:val="22"/>
          <w:szCs w:val="22"/>
          <w:lang w:bidi="ar-SA"/>
        </w:rPr>
        <w:t>scientific basis and operable strategies for optimizing aesthetic education in similar vocational college programs.</w:t>
      </w:r>
    </w:p>
    <w:p w14:paraId="503404EB" w14:textId="77777777" w:rsidR="00C743AC" w:rsidRDefault="00C743AC">
      <w:pPr>
        <w:jc w:val="both"/>
        <w:rPr>
          <w:rFonts w:ascii="Times New Roman" w:eastAsia="SimSun" w:hAnsi="Times New Roman" w:cs="Times New Roman"/>
          <w:sz w:val="20"/>
          <w:szCs w:val="20"/>
          <w:lang w:bidi="ar-SA"/>
        </w:rPr>
      </w:pPr>
    </w:p>
    <w:p w14:paraId="76AD7DA4" w14:textId="77777777" w:rsidR="00C743AC" w:rsidRPr="005F22FF" w:rsidRDefault="00000000">
      <w:pPr>
        <w:jc w:val="both"/>
        <w:rPr>
          <w:rFonts w:ascii="Times New Roman" w:eastAsia="SimSun" w:hAnsi="Times New Roman" w:cs="Times New Roman"/>
          <w:b/>
          <w:bCs/>
          <w:lang w:bidi="ar-SA"/>
        </w:rPr>
      </w:pPr>
      <w:r w:rsidRPr="005F22FF">
        <w:rPr>
          <w:rFonts w:ascii="Times New Roman" w:eastAsia="SimSun" w:hAnsi="Times New Roman" w:cs="Times New Roman"/>
          <w:b/>
          <w:bCs/>
          <w:lang w:bidi="ar-SA"/>
        </w:rPr>
        <w:t>LITERATURE REVIEW</w:t>
      </w:r>
      <w:r w:rsidRPr="005F22FF">
        <w:rPr>
          <w:rFonts w:ascii="Times New Roman" w:eastAsia="SimSun" w:hAnsi="Times New Roman" w:cs="Times New Roman" w:hint="eastAsia"/>
          <w:b/>
          <w:bCs/>
          <w:lang w:bidi="ar-SA"/>
        </w:rPr>
        <w:t>S</w:t>
      </w:r>
    </w:p>
    <w:p w14:paraId="3E0C411F" w14:textId="026946C5" w:rsidR="00C743AC" w:rsidRPr="00F744D0" w:rsidRDefault="00000000">
      <w:pPr>
        <w:jc w:val="both"/>
        <w:rPr>
          <w:rFonts w:ascii="Times New Roman" w:eastAsia="SimSun" w:hAnsi="Times New Roman" w:cstheme="minorBidi"/>
          <w:sz w:val="22"/>
          <w:szCs w:val="28"/>
        </w:rPr>
      </w:pPr>
      <w:r w:rsidRPr="00EB32D6">
        <w:rPr>
          <w:rFonts w:ascii="Times New Roman" w:eastAsia="SimSun" w:hAnsi="Times New Roman" w:cs="Times New Roman"/>
          <w:sz w:val="22"/>
          <w:szCs w:val="22"/>
          <w:lang w:bidi="ar-SA"/>
        </w:rPr>
        <w:t>Theories Related to the Study</w:t>
      </w:r>
      <w:r w:rsidR="00F744D0">
        <w:rPr>
          <w:rFonts w:ascii="Times New Roman" w:eastAsia="SimSun" w:hAnsi="Times New Roman" w:cstheme="minorBidi"/>
          <w:sz w:val="22"/>
          <w:szCs w:val="28"/>
        </w:rPr>
        <w:t xml:space="preserve"> </w:t>
      </w:r>
      <w:r w:rsidRPr="00EB32D6">
        <w:rPr>
          <w:rFonts w:ascii="Times New Roman" w:eastAsia="SimSun" w:hAnsi="Times New Roman" w:cs="Times New Roman"/>
          <w:sz w:val="22"/>
          <w:szCs w:val="22"/>
          <w:lang w:bidi="ar-SA"/>
        </w:rPr>
        <w:t>Satisfaction Theory</w:t>
      </w:r>
      <w:r w:rsidR="00F744D0">
        <w:rPr>
          <w:rFonts w:ascii="Times New Roman" w:eastAsia="SimSun" w:hAnsi="Times New Roman" w:cs="Times New Roman"/>
          <w:sz w:val="22"/>
          <w:szCs w:val="22"/>
          <w:lang w:bidi="ar-SA"/>
        </w:rPr>
        <w:t xml:space="preserve"> </w:t>
      </w:r>
      <w:r w:rsidRPr="00EB32D6">
        <w:rPr>
          <w:rFonts w:ascii="Times New Roman" w:eastAsia="SimSun" w:hAnsi="Times New Roman" w:cs="Times New Roman"/>
          <w:sz w:val="22"/>
          <w:szCs w:val="22"/>
          <w:lang w:bidi="ar-SA"/>
        </w:rPr>
        <w:t>Satisfaction theory posits that student satisfaction with teaching activities is closely linked to ability cultivation effectiveness, with teaching</w:t>
      </w:r>
      <w:r w:rsidR="005F22FF">
        <w:rPr>
          <w:rFonts w:ascii="Times New Roman" w:eastAsia="SimSun" w:hAnsi="Times New Roman" w:cs="Times New Roman"/>
          <w:sz w:val="22"/>
          <w:szCs w:val="22"/>
          <w:lang w:bidi="ar-SA"/>
        </w:rPr>
        <w:t xml:space="preserve"> </w:t>
      </w:r>
      <w:r w:rsidRPr="00EB32D6">
        <w:rPr>
          <w:rFonts w:ascii="Times New Roman" w:eastAsia="SimSun" w:hAnsi="Times New Roman" w:cs="Times New Roman"/>
          <w:sz w:val="22"/>
          <w:szCs w:val="22"/>
          <w:lang w:bidi="ar-SA"/>
        </w:rPr>
        <w:t>content alignment to student needs as a core influencing factor (Zhao &amp; Wang, 2025). In aesthetic education, satisfaction encompasses not only content and method evaluation but also psychological perceptions of creative growth (Yang, 2025). Oliver’s (2019) expectation confirmation theory further suggests that when students’ actual growth from overcoming creative setbacks exceeds expectations, their satisfaction with aesthetic education significantly improves</w:t>
      </w:r>
      <w:r w:rsidR="00F744D0">
        <w:rPr>
          <w:rFonts w:ascii="Times New Roman" w:eastAsia="SimSun" w:hAnsi="Times New Roman" w:cs="Times New Roman"/>
          <w:sz w:val="22"/>
          <w:szCs w:val="22"/>
          <w:lang w:bidi="ar-SA"/>
        </w:rPr>
        <w:t xml:space="preserve"> </w:t>
      </w:r>
      <w:r w:rsidRPr="00EB32D6">
        <w:rPr>
          <w:rFonts w:ascii="Times New Roman" w:eastAsia="SimSun" w:hAnsi="Times New Roman" w:cs="Times New Roman"/>
          <w:sz w:val="22"/>
          <w:szCs w:val="22"/>
          <w:lang w:bidi="ar-SA"/>
        </w:rPr>
        <w:t>providing an evaluation perspective for this study’s framework effectiveness assessment.</w:t>
      </w:r>
    </w:p>
    <w:p w14:paraId="772B1B46" w14:textId="77777777" w:rsidR="00C743AC" w:rsidRPr="00EB32D6" w:rsidRDefault="00000000">
      <w:pPr>
        <w:jc w:val="both"/>
        <w:rPr>
          <w:rFonts w:ascii="Times New Roman" w:eastAsia="SimSun" w:hAnsi="Times New Roman" w:cs="Times New Roman"/>
          <w:sz w:val="22"/>
          <w:szCs w:val="22"/>
          <w:lang w:bidi="ar-SA"/>
        </w:rPr>
      </w:pPr>
      <w:r w:rsidRPr="00EB32D6">
        <w:rPr>
          <w:rFonts w:ascii="Times New Roman" w:eastAsia="SimSun" w:hAnsi="Times New Roman" w:cs="Times New Roman"/>
          <w:sz w:val="22"/>
          <w:szCs w:val="22"/>
          <w:lang w:bidi="ar-SA"/>
        </w:rPr>
        <w:t>Student Management Theories</w:t>
      </w:r>
    </w:p>
    <w:p w14:paraId="4BC2448A" w14:textId="77777777" w:rsidR="00C743AC" w:rsidRPr="00EB32D6" w:rsidRDefault="00000000">
      <w:pPr>
        <w:jc w:val="both"/>
        <w:rPr>
          <w:rFonts w:ascii="Times New Roman" w:eastAsia="SimSun" w:hAnsi="Times New Roman" w:cs="Times New Roman"/>
          <w:sz w:val="22"/>
          <w:szCs w:val="22"/>
          <w:lang w:bidi="ar-SA"/>
        </w:rPr>
      </w:pPr>
      <w:r w:rsidRPr="00EB32D6">
        <w:rPr>
          <w:rFonts w:ascii="Times New Roman" w:eastAsia="SimSun" w:hAnsi="Times New Roman" w:cs="Times New Roman"/>
          <w:sz w:val="22"/>
          <w:szCs w:val="22"/>
          <w:lang w:bidi="ar-SA"/>
        </w:rPr>
        <w:t>Student Management Theories emphasize personalized management aligned with creative personalities and growth laws (Chen, 2024). Maslow’s Hierarchy of Needs Theory highlights the importance of meeting esteem and self-actualization needs through recognizing creative progress (Maslow, 2018), while Drucker’s Goal Management Theory supports phased aesthetic education objectives aligned with the "Growing Circle" logic (Drucker, 2021). These theories provide practical paths for integrating the "Growing Circle" theory into aesthetic education, emphasizing flexible management and hierarchical incentives.</w:t>
      </w:r>
    </w:p>
    <w:p w14:paraId="76CC4290" w14:textId="77777777" w:rsidR="00C743AC" w:rsidRPr="00EB32D6" w:rsidRDefault="00000000">
      <w:pPr>
        <w:jc w:val="both"/>
        <w:rPr>
          <w:rFonts w:ascii="Times New Roman" w:eastAsia="SimSun" w:hAnsi="Times New Roman" w:cs="Times New Roman"/>
          <w:sz w:val="22"/>
          <w:szCs w:val="22"/>
          <w:lang w:bidi="ar-SA"/>
        </w:rPr>
      </w:pPr>
      <w:r w:rsidRPr="00EB32D6">
        <w:rPr>
          <w:rFonts w:ascii="Times New Roman" w:eastAsia="SimSun" w:hAnsi="Times New Roman" w:cs="Times New Roman"/>
          <w:sz w:val="22"/>
          <w:szCs w:val="22"/>
          <w:lang w:bidi="ar-SA"/>
        </w:rPr>
        <w:t>The "One-Size-Fits-All" Paradigm in Education</w:t>
      </w:r>
    </w:p>
    <w:p w14:paraId="152285C0" w14:textId="511EE716" w:rsidR="00C743AC" w:rsidRPr="00EB32D6" w:rsidRDefault="00000000">
      <w:pPr>
        <w:jc w:val="both"/>
        <w:rPr>
          <w:rFonts w:ascii="Times New Roman" w:eastAsia="SimSun" w:hAnsi="Times New Roman" w:cs="Times New Roman"/>
          <w:sz w:val="22"/>
          <w:szCs w:val="22"/>
          <w:lang w:bidi="ar-SA"/>
        </w:rPr>
      </w:pPr>
      <w:r w:rsidRPr="00EB32D6">
        <w:rPr>
          <w:rFonts w:ascii="Times New Roman" w:eastAsia="SimSun" w:hAnsi="Times New Roman" w:cs="Times New Roman"/>
          <w:sz w:val="22"/>
          <w:szCs w:val="22"/>
          <w:lang w:bidi="ar-SA"/>
        </w:rPr>
        <w:t>The "one-size-fits-all" teaching model, which ignores differences in student grades and professional foundations, contradicts the "hierarchical growth" logic of the "Growing Circle" theory (Wang, 2025). In vocational art education, this paradigm leads to unbalanced learning outcomes</w:t>
      </w:r>
      <w:r w:rsidR="00F744D0">
        <w:rPr>
          <w:rFonts w:ascii="Times New Roman" w:eastAsia="SimSun" w:hAnsi="Times New Roman" w:cs="Times New Roman"/>
          <w:sz w:val="22"/>
          <w:szCs w:val="22"/>
          <w:lang w:bidi="ar-SA"/>
        </w:rPr>
        <w:t xml:space="preserve"> </w:t>
      </w:r>
      <w:r w:rsidRPr="00EB32D6">
        <w:rPr>
          <w:rFonts w:ascii="Times New Roman" w:eastAsia="SimSun" w:hAnsi="Times New Roman" w:cs="Times New Roman"/>
          <w:sz w:val="22"/>
          <w:szCs w:val="22"/>
          <w:lang w:bidi="ar-SA"/>
        </w:rPr>
        <w:t>students with weak foundations struggle to apply theory, while advanced students lack room for deepening (Zhang, 2025)</w:t>
      </w:r>
      <w:r w:rsidR="00F744D0">
        <w:rPr>
          <w:rFonts w:ascii="Times New Roman" w:eastAsia="SimSun" w:hAnsi="Times New Roman" w:cs="Times New Roman"/>
          <w:sz w:val="22"/>
          <w:szCs w:val="22"/>
          <w:lang w:bidi="ar-SA"/>
        </w:rPr>
        <w:t xml:space="preserve"> </w:t>
      </w:r>
      <w:r w:rsidRPr="00EB32D6">
        <w:rPr>
          <w:rFonts w:ascii="Times New Roman" w:eastAsia="SimSun" w:hAnsi="Times New Roman" w:cs="Times New Roman"/>
          <w:sz w:val="22"/>
          <w:szCs w:val="22"/>
          <w:lang w:bidi="ar-SA"/>
        </w:rPr>
        <w:t>underscoring the need for differentiated teaching design.</w:t>
      </w:r>
    </w:p>
    <w:p w14:paraId="6871DEE7" w14:textId="77777777" w:rsidR="00C743AC" w:rsidRPr="00EB32D6" w:rsidRDefault="00000000">
      <w:pPr>
        <w:jc w:val="both"/>
        <w:rPr>
          <w:rFonts w:ascii="Times New Roman" w:eastAsia="SimSun" w:hAnsi="Times New Roman" w:cs="Times New Roman"/>
          <w:sz w:val="22"/>
          <w:szCs w:val="22"/>
          <w:lang w:bidi="ar-SA"/>
        </w:rPr>
      </w:pPr>
      <w:r w:rsidRPr="00EB32D6">
        <w:rPr>
          <w:rFonts w:ascii="Times New Roman" w:eastAsia="SimSun" w:hAnsi="Times New Roman" w:cs="Times New Roman"/>
          <w:sz w:val="22"/>
          <w:szCs w:val="22"/>
          <w:lang w:bidi="ar-SA"/>
        </w:rPr>
        <w:t>Related Research on the Title</w:t>
      </w:r>
    </w:p>
    <w:p w14:paraId="7381410C" w14:textId="77777777" w:rsidR="00C743AC" w:rsidRPr="00EB32D6" w:rsidRDefault="00000000">
      <w:pPr>
        <w:jc w:val="both"/>
        <w:rPr>
          <w:rFonts w:ascii="Times New Roman" w:eastAsia="SimSun" w:hAnsi="Times New Roman" w:cs="Times New Roman"/>
          <w:sz w:val="22"/>
          <w:szCs w:val="22"/>
          <w:lang w:bidi="ar-SA"/>
        </w:rPr>
      </w:pPr>
      <w:r w:rsidRPr="00EB32D6">
        <w:rPr>
          <w:rFonts w:ascii="Times New Roman" w:eastAsia="SimSun" w:hAnsi="Times New Roman" w:cs="Times New Roman"/>
          <w:sz w:val="22"/>
          <w:szCs w:val="22"/>
          <w:lang w:bidi="ar-SA"/>
        </w:rPr>
        <w:t>Research on the "Growing Circle" theory in education has confirmed its effectiveness in reducing creative anxiety and improving autonomous learning (Zhang Lei, 2025), but lacks focus on vocational Advertising Art Design scenarios. Foreign studies (Smith, 2025) have focused on basic education, with limited applicability to vocational students’ career-oriented needs. Studies on aesthetic education optimization for advertising design majors (Jones, 2021) emphasize industry demand alignment but neglect psychological resilience cultivation. Research on resilience and aesthetic inclusiveness (Davis, 2019) highlights the importance of tolerant creative environments but lacks integration with professional teaching frameworks. This study addresses these gaps by constructing a targeted practical framework and verifying its effectiveness through empirical research.</w:t>
      </w:r>
    </w:p>
    <w:p w14:paraId="40A9503C" w14:textId="77777777" w:rsidR="00C743AC" w:rsidRPr="00EB32D6" w:rsidRDefault="00C743AC">
      <w:pPr>
        <w:jc w:val="both"/>
        <w:rPr>
          <w:rFonts w:ascii="Times New Roman" w:eastAsia="SimSun" w:hAnsi="Times New Roman" w:cs="Times New Roman"/>
          <w:sz w:val="22"/>
          <w:szCs w:val="22"/>
          <w:lang w:bidi="ar-SA"/>
        </w:rPr>
      </w:pPr>
    </w:p>
    <w:p w14:paraId="3A77F6C6" w14:textId="530CD8EB" w:rsidR="00C743AC" w:rsidRPr="00F744D0" w:rsidRDefault="00000000">
      <w:pPr>
        <w:jc w:val="both"/>
        <w:rPr>
          <w:rFonts w:ascii="Times New Roman" w:eastAsia="SimSun" w:hAnsi="Times New Roman" w:cs="Times New Roman"/>
          <w:b/>
          <w:bCs/>
          <w:lang w:bidi="ar-SA"/>
        </w:rPr>
      </w:pPr>
      <w:r w:rsidRPr="00F744D0">
        <w:rPr>
          <w:rFonts w:ascii="Times New Roman" w:eastAsia="SimSun" w:hAnsi="Times New Roman" w:cs="Times New Roman"/>
          <w:b/>
          <w:bCs/>
          <w:lang w:bidi="ar-SA"/>
        </w:rPr>
        <w:lastRenderedPageBreak/>
        <w:t xml:space="preserve">RESEARCH METHODOLOGY </w:t>
      </w:r>
    </w:p>
    <w:p w14:paraId="2742CFC4" w14:textId="3EAF210F" w:rsidR="00C743AC" w:rsidRPr="00EB32D6" w:rsidRDefault="00000000">
      <w:pPr>
        <w:jc w:val="both"/>
        <w:rPr>
          <w:rFonts w:ascii="Times New Roman" w:eastAsia="SimSun" w:hAnsi="Times New Roman" w:cs="Times New Roman"/>
          <w:sz w:val="22"/>
          <w:szCs w:val="22"/>
          <w:lang w:bidi="ar-SA"/>
        </w:rPr>
      </w:pPr>
      <w:r w:rsidRPr="00EB32D6">
        <w:rPr>
          <w:rFonts w:ascii="Times New Roman" w:eastAsia="SimSun" w:hAnsi="Times New Roman" w:cs="Times New Roman"/>
          <w:sz w:val="22"/>
          <w:szCs w:val="22"/>
          <w:lang w:bidi="ar-SA"/>
        </w:rPr>
        <w:t>Research Objectives</w:t>
      </w:r>
      <w:r w:rsidR="00F744D0">
        <w:rPr>
          <w:rFonts w:ascii="Times New Roman" w:eastAsia="SimSun" w:hAnsi="Times New Roman" w:cs="Times New Roman"/>
          <w:sz w:val="22"/>
          <w:szCs w:val="22"/>
          <w:lang w:bidi="ar-SA"/>
        </w:rPr>
        <w:br/>
      </w:r>
      <w:proofErr w:type="gramStart"/>
      <w:r w:rsidRPr="00EB32D6">
        <w:rPr>
          <w:rFonts w:ascii="Times New Roman" w:eastAsia="SimSun" w:hAnsi="Times New Roman" w:cs="Times New Roman"/>
          <w:sz w:val="22"/>
          <w:szCs w:val="22"/>
          <w:lang w:bidi="ar-SA"/>
        </w:rPr>
        <w:t>1)Verify</w:t>
      </w:r>
      <w:proofErr w:type="gramEnd"/>
      <w:r w:rsidRPr="00EB32D6">
        <w:rPr>
          <w:rFonts w:ascii="Times New Roman" w:eastAsia="SimSun" w:hAnsi="Times New Roman" w:cs="Times New Roman"/>
          <w:sz w:val="22"/>
          <w:szCs w:val="22"/>
          <w:lang w:bidi="ar-SA"/>
        </w:rPr>
        <w:t xml:space="preserve"> the effectiveness of the "Growing Circle" theory-based practical framework in improving Advertising Art Design students’ resilience and aesthetic inclusiveness.</w:t>
      </w:r>
    </w:p>
    <w:p w14:paraId="492950C5" w14:textId="5F940A99" w:rsidR="00C743AC" w:rsidRPr="00EB32D6" w:rsidRDefault="00000000">
      <w:pPr>
        <w:jc w:val="both"/>
        <w:rPr>
          <w:rFonts w:ascii="Times New Roman" w:eastAsia="SimSun" w:hAnsi="Times New Roman" w:cs="Times New Roman"/>
          <w:sz w:val="22"/>
          <w:szCs w:val="22"/>
          <w:lang w:bidi="ar-SA"/>
        </w:rPr>
      </w:pPr>
      <w:r w:rsidRPr="00EB32D6">
        <w:rPr>
          <w:rFonts w:ascii="Times New Roman" w:eastAsia="SimSun" w:hAnsi="Times New Roman" w:cs="Times New Roman"/>
          <w:sz w:val="22"/>
          <w:szCs w:val="22"/>
          <w:lang w:bidi="ar-SA"/>
        </w:rPr>
        <w:t>2)Analyze differentiated effectiveness across student characteristics (gender, grade, professional foundation).</w:t>
      </w:r>
      <w:r w:rsidR="00F744D0">
        <w:rPr>
          <w:rFonts w:ascii="Times New Roman" w:eastAsia="SimSun" w:hAnsi="Times New Roman" w:cs="Times New Roman"/>
          <w:sz w:val="22"/>
          <w:szCs w:val="22"/>
          <w:lang w:bidi="ar-SA"/>
        </w:rPr>
        <w:br/>
      </w:r>
      <w:proofErr w:type="gramStart"/>
      <w:r w:rsidRPr="00EB32D6">
        <w:rPr>
          <w:rFonts w:ascii="Times New Roman" w:eastAsia="SimSun" w:hAnsi="Times New Roman" w:cs="Times New Roman"/>
          <w:sz w:val="22"/>
          <w:szCs w:val="22"/>
          <w:lang w:bidi="ar-SA"/>
        </w:rPr>
        <w:t>3)Propose</w:t>
      </w:r>
      <w:proofErr w:type="gramEnd"/>
      <w:r w:rsidRPr="00EB32D6">
        <w:rPr>
          <w:rFonts w:ascii="Times New Roman" w:eastAsia="SimSun" w:hAnsi="Times New Roman" w:cs="Times New Roman"/>
          <w:sz w:val="22"/>
          <w:szCs w:val="22"/>
          <w:lang w:bidi="ar-SA"/>
        </w:rPr>
        <w:t xml:space="preserve"> optimization strategies addressing key constraints in framework implementation.</w:t>
      </w:r>
    </w:p>
    <w:p w14:paraId="510C62BE" w14:textId="77777777" w:rsidR="00C743AC" w:rsidRPr="00EB32D6" w:rsidRDefault="00000000">
      <w:pPr>
        <w:jc w:val="both"/>
        <w:rPr>
          <w:rFonts w:ascii="Times New Roman" w:eastAsia="SimSun" w:hAnsi="Times New Roman" w:cs="Times New Roman"/>
          <w:sz w:val="22"/>
          <w:szCs w:val="22"/>
          <w:lang w:bidi="ar-SA"/>
        </w:rPr>
      </w:pPr>
      <w:r w:rsidRPr="00EB32D6">
        <w:rPr>
          <w:rFonts w:ascii="Times New Roman" w:eastAsia="SimSun" w:hAnsi="Times New Roman" w:cs="Times New Roman"/>
          <w:sz w:val="22"/>
          <w:szCs w:val="22"/>
          <w:lang w:bidi="ar-SA"/>
        </w:rPr>
        <w:t>Population and Sample</w:t>
      </w:r>
    </w:p>
    <w:p w14:paraId="6334F04F" w14:textId="77777777" w:rsidR="00C743AC" w:rsidRPr="00EB32D6" w:rsidRDefault="00000000">
      <w:pPr>
        <w:jc w:val="both"/>
        <w:rPr>
          <w:rFonts w:ascii="Times New Roman" w:eastAsia="SimSun" w:hAnsi="Times New Roman" w:cs="Times New Roman"/>
          <w:sz w:val="22"/>
          <w:szCs w:val="22"/>
          <w:lang w:bidi="ar-SA"/>
        </w:rPr>
      </w:pPr>
      <w:r w:rsidRPr="00EB32D6">
        <w:rPr>
          <w:rFonts w:ascii="Times New Roman" w:eastAsia="SimSun" w:hAnsi="Times New Roman" w:cs="Times New Roman"/>
          <w:sz w:val="22"/>
          <w:szCs w:val="22"/>
          <w:lang w:bidi="ar-SA"/>
        </w:rPr>
        <w:t>The population included 195 full-time Advertising Art Design students at Guizhou Urban Vocational College (39 freshmen, 73 sophomores, 83 juniors). A full-sample questionnaire survey yielded 188 valid responses (effective rate 96.4%). Stratified random sampling selected 86 students for a 16-week quasi-experiment (43 in experimental group, 43 in control group), with no significant pre-test differences in professional foundation or aesthetic ability (p&gt;.05). Twenty-eight typical students were selected for semi-structured interviews and artwork evaluation.</w:t>
      </w:r>
    </w:p>
    <w:p w14:paraId="00F3E603" w14:textId="2A7D97E8" w:rsidR="00C743AC" w:rsidRPr="00F744D0" w:rsidRDefault="00000000">
      <w:pPr>
        <w:jc w:val="both"/>
        <w:rPr>
          <w:rFonts w:ascii="Times New Roman" w:eastAsia="SimSun" w:hAnsi="Times New Roman" w:cs="Times New Roman"/>
          <w:b/>
          <w:bCs/>
          <w:lang w:bidi="ar-SA"/>
        </w:rPr>
      </w:pPr>
      <w:r w:rsidRPr="00F744D0">
        <w:rPr>
          <w:rFonts w:ascii="Times New Roman" w:eastAsia="SimSun" w:hAnsi="Times New Roman" w:cs="Times New Roman"/>
          <w:b/>
          <w:bCs/>
          <w:lang w:bidi="ar-SA"/>
        </w:rPr>
        <w:t>Research Tools</w:t>
      </w:r>
    </w:p>
    <w:p w14:paraId="27CBB65E" w14:textId="77777777" w:rsidR="00C743AC" w:rsidRPr="00EB32D6" w:rsidRDefault="00000000">
      <w:pPr>
        <w:jc w:val="both"/>
        <w:rPr>
          <w:rFonts w:ascii="Times New Roman" w:eastAsia="SimSun" w:hAnsi="Times New Roman" w:cs="Times New Roman"/>
          <w:sz w:val="22"/>
          <w:szCs w:val="22"/>
          <w:lang w:bidi="ar-SA"/>
        </w:rPr>
      </w:pPr>
      <w:r w:rsidRPr="00EB32D6">
        <w:rPr>
          <w:rFonts w:ascii="Times New Roman" w:eastAsia="SimSun" w:hAnsi="Times New Roman" w:cs="Times New Roman"/>
          <w:sz w:val="22"/>
          <w:szCs w:val="22"/>
          <w:lang w:bidi="ar-SA"/>
        </w:rPr>
        <w:t>1)Questionnaire: Included 35 items (5 demographic, 30 Likert-scale satisfaction items, 5 open-ended questions) to measure resilience, aesthetic inclusiveness, and framework satisfaction. Cronbach’s α coefficient was 0.836, indicating good reliability; IOC scores of core items ≥0.8, confirming content validity.</w:t>
      </w:r>
    </w:p>
    <w:p w14:paraId="4D1FED3F" w14:textId="77777777" w:rsidR="00C743AC" w:rsidRPr="00EB32D6" w:rsidRDefault="00000000">
      <w:pPr>
        <w:jc w:val="both"/>
        <w:rPr>
          <w:rFonts w:ascii="Times New Roman" w:eastAsia="SimSun" w:hAnsi="Times New Roman" w:cs="Times New Roman"/>
          <w:sz w:val="22"/>
          <w:szCs w:val="22"/>
          <w:lang w:bidi="ar-SA"/>
        </w:rPr>
      </w:pPr>
      <w:r w:rsidRPr="00EB32D6">
        <w:rPr>
          <w:rFonts w:ascii="Times New Roman" w:eastAsia="SimSun" w:hAnsi="Times New Roman" w:cs="Times New Roman"/>
          <w:sz w:val="22"/>
          <w:szCs w:val="22"/>
          <w:lang w:bidi="ar-SA"/>
        </w:rPr>
        <w:t>2)Semi-structured Interview Outline: Designed for three grades, exploring students’ theory acceptance, creative psychological changes, and teaching suggestions.</w:t>
      </w:r>
    </w:p>
    <w:p w14:paraId="5CDD5899" w14:textId="77777777" w:rsidR="00C743AC" w:rsidRPr="00EB32D6" w:rsidRDefault="00000000">
      <w:pPr>
        <w:jc w:val="both"/>
        <w:rPr>
          <w:rFonts w:ascii="Times New Roman" w:eastAsia="SimSun" w:hAnsi="Times New Roman" w:cs="Times New Roman"/>
          <w:sz w:val="22"/>
          <w:szCs w:val="22"/>
          <w:lang w:bidi="ar-SA"/>
        </w:rPr>
      </w:pPr>
      <w:r w:rsidRPr="00EB32D6">
        <w:rPr>
          <w:rFonts w:ascii="Times New Roman" w:eastAsia="SimSun" w:hAnsi="Times New Roman" w:cs="Times New Roman"/>
          <w:sz w:val="22"/>
          <w:szCs w:val="22"/>
          <w:lang w:bidi="ar-SA"/>
        </w:rPr>
        <w:t>3)Artwork Evaluation Scale: Developed by professional teachers and industry experts, evaluating 5 dimensions (aesthetic expression, creative thinking, professional skill application, problem-solving ability, growth potential) on a 10-point scale.</w:t>
      </w:r>
    </w:p>
    <w:p w14:paraId="329CCB7C" w14:textId="77777777" w:rsidR="00C743AC" w:rsidRPr="00F744D0" w:rsidRDefault="00000000">
      <w:pPr>
        <w:jc w:val="both"/>
        <w:rPr>
          <w:rFonts w:ascii="Times New Roman" w:eastAsia="SimSun" w:hAnsi="Times New Roman" w:cs="Times New Roman"/>
          <w:b/>
          <w:bCs/>
          <w:sz w:val="22"/>
          <w:szCs w:val="22"/>
          <w:lang w:bidi="ar-SA"/>
        </w:rPr>
      </w:pPr>
      <w:r w:rsidRPr="00F744D0">
        <w:rPr>
          <w:rFonts w:ascii="Times New Roman" w:eastAsia="SimSun" w:hAnsi="Times New Roman" w:cs="Times New Roman"/>
          <w:b/>
          <w:bCs/>
          <w:sz w:val="22"/>
          <w:szCs w:val="22"/>
          <w:lang w:bidi="ar-SA"/>
        </w:rPr>
        <w:t>Data Collection</w:t>
      </w:r>
    </w:p>
    <w:p w14:paraId="44372F16" w14:textId="4D677ABB" w:rsidR="00C743AC" w:rsidRPr="00EB32D6" w:rsidRDefault="00000000">
      <w:pPr>
        <w:jc w:val="both"/>
        <w:rPr>
          <w:rFonts w:ascii="Times New Roman" w:eastAsia="SimSun" w:hAnsi="Times New Roman" w:cs="Times New Roman"/>
          <w:sz w:val="22"/>
          <w:szCs w:val="22"/>
          <w:lang w:bidi="ar-SA"/>
        </w:rPr>
      </w:pPr>
      <w:r w:rsidRPr="00EB32D6">
        <w:rPr>
          <w:rFonts w:ascii="Times New Roman" w:eastAsia="SimSun" w:hAnsi="Times New Roman" w:cs="Times New Roman"/>
          <w:sz w:val="22"/>
          <w:szCs w:val="22"/>
          <w:lang w:bidi="ar-SA"/>
        </w:rPr>
        <w:t>Data collection spanned three stages</w:t>
      </w:r>
    </w:p>
    <w:p w14:paraId="14162D12" w14:textId="77777777" w:rsidR="00C743AC" w:rsidRPr="00EB32D6" w:rsidRDefault="00000000">
      <w:pPr>
        <w:jc w:val="both"/>
        <w:rPr>
          <w:rFonts w:ascii="Times New Roman" w:eastAsia="SimSun" w:hAnsi="Times New Roman" w:cs="Times New Roman"/>
          <w:sz w:val="22"/>
          <w:szCs w:val="22"/>
          <w:lang w:bidi="ar-SA"/>
        </w:rPr>
      </w:pPr>
      <w:r w:rsidRPr="00EB32D6">
        <w:rPr>
          <w:rFonts w:ascii="Times New Roman" w:eastAsia="SimSun" w:hAnsi="Times New Roman" w:cs="Times New Roman"/>
          <w:sz w:val="22"/>
          <w:szCs w:val="22"/>
          <w:lang w:bidi="ar-SA"/>
        </w:rPr>
        <w:t>Preliminary stage (Week 1): Baseline survey on resilience and aesthetic inclusiveness.</w:t>
      </w:r>
    </w:p>
    <w:p w14:paraId="31CBC95B" w14:textId="77777777" w:rsidR="00C743AC" w:rsidRPr="00EB32D6" w:rsidRDefault="00000000">
      <w:pPr>
        <w:jc w:val="both"/>
        <w:rPr>
          <w:rFonts w:ascii="Times New Roman" w:eastAsia="SimSun" w:hAnsi="Times New Roman" w:cs="Times New Roman"/>
          <w:sz w:val="22"/>
          <w:szCs w:val="22"/>
          <w:lang w:bidi="ar-SA"/>
        </w:rPr>
      </w:pPr>
      <w:r w:rsidRPr="00EB32D6">
        <w:rPr>
          <w:rFonts w:ascii="Times New Roman" w:eastAsia="SimSun" w:hAnsi="Times New Roman" w:cs="Times New Roman"/>
          <w:sz w:val="22"/>
          <w:szCs w:val="22"/>
          <w:lang w:bidi="ar-SA"/>
        </w:rPr>
        <w:t>Middle stage (Week 8): Phased practice data collection (work samples, classroom performance) for intervention adjustment.</w:t>
      </w:r>
    </w:p>
    <w:p w14:paraId="71F87C46" w14:textId="77777777" w:rsidR="00C743AC" w:rsidRPr="00EB32D6" w:rsidRDefault="00000000">
      <w:pPr>
        <w:jc w:val="both"/>
        <w:rPr>
          <w:rFonts w:ascii="Times New Roman" w:eastAsia="SimSun" w:hAnsi="Times New Roman" w:cs="Times New Roman"/>
          <w:sz w:val="22"/>
          <w:szCs w:val="22"/>
          <w:lang w:bidi="ar-SA"/>
        </w:rPr>
      </w:pPr>
      <w:r w:rsidRPr="00EB32D6">
        <w:rPr>
          <w:rFonts w:ascii="Times New Roman" w:eastAsia="SimSun" w:hAnsi="Times New Roman" w:cs="Times New Roman"/>
          <w:sz w:val="22"/>
          <w:szCs w:val="22"/>
          <w:lang w:bidi="ar-SA"/>
        </w:rPr>
        <w:t>Later stage (Week 16): Post-intervention survey, final work collection, and interviews for effect comparison.</w:t>
      </w:r>
    </w:p>
    <w:p w14:paraId="64C48FED" w14:textId="77777777" w:rsidR="00C743AC" w:rsidRPr="00F744D0" w:rsidRDefault="00000000">
      <w:pPr>
        <w:jc w:val="both"/>
        <w:rPr>
          <w:rFonts w:ascii="Times New Roman" w:eastAsia="SimSun" w:hAnsi="Times New Roman" w:cs="Times New Roman"/>
          <w:b/>
          <w:bCs/>
          <w:lang w:bidi="ar-SA"/>
        </w:rPr>
      </w:pPr>
      <w:r w:rsidRPr="00F744D0">
        <w:rPr>
          <w:rFonts w:ascii="Times New Roman" w:eastAsia="SimSun" w:hAnsi="Times New Roman" w:cs="Times New Roman"/>
          <w:b/>
          <w:bCs/>
          <w:lang w:bidi="ar-SA"/>
        </w:rPr>
        <w:t>Data Analysis</w:t>
      </w:r>
    </w:p>
    <w:p w14:paraId="63D252BC" w14:textId="77777777" w:rsidR="00C743AC" w:rsidRPr="00EB32D6" w:rsidRDefault="00000000">
      <w:pPr>
        <w:jc w:val="both"/>
        <w:rPr>
          <w:rFonts w:ascii="Times New Roman" w:eastAsia="SimSun" w:hAnsi="Times New Roman" w:cs="Times New Roman"/>
          <w:sz w:val="22"/>
          <w:szCs w:val="22"/>
          <w:lang w:bidi="ar-SA"/>
        </w:rPr>
      </w:pPr>
      <w:r w:rsidRPr="00EB32D6">
        <w:rPr>
          <w:rFonts w:ascii="Times New Roman" w:eastAsia="SimSun" w:hAnsi="Times New Roman" w:cs="Times New Roman"/>
          <w:sz w:val="22"/>
          <w:szCs w:val="22"/>
          <w:lang w:bidi="ar-SA"/>
        </w:rPr>
        <w:t>Quantitative Analysis: SPSS 26.0 was used for descriptive statistics (frequency, percentage, mean, SD), paired sample t-tests (pre-test vs post-test), and one-way ANOVA (differences across groups).</w:t>
      </w:r>
    </w:p>
    <w:p w14:paraId="16BCD5C2" w14:textId="77777777" w:rsidR="00C743AC" w:rsidRPr="00EB32D6" w:rsidRDefault="00000000">
      <w:pPr>
        <w:jc w:val="both"/>
        <w:rPr>
          <w:rFonts w:ascii="Times New Roman" w:eastAsia="SimSun" w:hAnsi="Times New Roman" w:cs="Times New Roman"/>
          <w:sz w:val="22"/>
          <w:szCs w:val="22"/>
          <w:lang w:bidi="ar-SA"/>
        </w:rPr>
      </w:pPr>
      <w:r w:rsidRPr="00EB32D6">
        <w:rPr>
          <w:rFonts w:ascii="Times New Roman" w:eastAsia="SimSun" w:hAnsi="Times New Roman" w:cs="Times New Roman"/>
          <w:sz w:val="22"/>
          <w:szCs w:val="22"/>
          <w:lang w:bidi="ar-SA"/>
        </w:rPr>
        <w:t>Qualitative Analysis: Interview records and work analysis reports were coded to extract core themes, exploring the theory’s influence mechanism.</w:t>
      </w:r>
    </w:p>
    <w:p w14:paraId="656136AF" w14:textId="77777777" w:rsidR="00C743AC" w:rsidRPr="00EB32D6" w:rsidRDefault="00C743AC">
      <w:pPr>
        <w:jc w:val="both"/>
        <w:rPr>
          <w:rFonts w:ascii="Times New Roman" w:eastAsia="SimSun" w:hAnsi="Times New Roman" w:cs="Times New Roman"/>
          <w:sz w:val="22"/>
          <w:szCs w:val="22"/>
          <w:lang w:bidi="ar-SA"/>
        </w:rPr>
      </w:pPr>
    </w:p>
    <w:p w14:paraId="70746B7E" w14:textId="77777777" w:rsidR="00F744D0" w:rsidRDefault="00F744D0">
      <w:pPr>
        <w:jc w:val="both"/>
        <w:rPr>
          <w:rFonts w:ascii="Times New Roman" w:eastAsia="SimSun" w:hAnsi="Times New Roman" w:cs="Times New Roman"/>
          <w:b/>
          <w:bCs/>
          <w:lang w:bidi="ar-SA"/>
        </w:rPr>
      </w:pPr>
    </w:p>
    <w:p w14:paraId="2BEBAA27" w14:textId="77777777" w:rsidR="00F744D0" w:rsidRDefault="00F744D0">
      <w:pPr>
        <w:jc w:val="both"/>
        <w:rPr>
          <w:rFonts w:ascii="Times New Roman" w:eastAsia="SimSun" w:hAnsi="Times New Roman" w:cs="Times New Roman"/>
          <w:b/>
          <w:bCs/>
          <w:lang w:bidi="ar-SA"/>
        </w:rPr>
      </w:pPr>
    </w:p>
    <w:p w14:paraId="5D7BD527" w14:textId="50E93735" w:rsidR="00C743AC" w:rsidRPr="00F744D0" w:rsidRDefault="00000000">
      <w:pPr>
        <w:jc w:val="both"/>
        <w:rPr>
          <w:rFonts w:ascii="Times New Roman" w:eastAsia="SimSun" w:hAnsi="Times New Roman" w:cs="Times New Roman"/>
          <w:b/>
          <w:bCs/>
          <w:lang w:bidi="ar-SA"/>
        </w:rPr>
      </w:pPr>
      <w:r w:rsidRPr="00F744D0">
        <w:rPr>
          <w:rFonts w:ascii="Times New Roman" w:eastAsia="SimSun" w:hAnsi="Times New Roman" w:cs="Times New Roman"/>
          <w:b/>
          <w:bCs/>
          <w:lang w:bidi="ar-SA"/>
        </w:rPr>
        <w:t>RESULTS OF RESEARCH</w:t>
      </w:r>
    </w:p>
    <w:p w14:paraId="72AD237D" w14:textId="77777777" w:rsidR="00C743AC" w:rsidRPr="00EB32D6" w:rsidRDefault="00000000">
      <w:pPr>
        <w:jc w:val="both"/>
        <w:rPr>
          <w:rFonts w:ascii="Times New Roman" w:eastAsia="SimSun" w:hAnsi="Times New Roman" w:cs="Times New Roman"/>
          <w:sz w:val="22"/>
          <w:szCs w:val="22"/>
          <w:lang w:bidi="ar-SA"/>
        </w:rPr>
      </w:pPr>
      <w:r w:rsidRPr="00EB32D6">
        <w:rPr>
          <w:rFonts w:ascii="Times New Roman" w:eastAsia="SimSun" w:hAnsi="Times New Roman" w:cs="Times New Roman"/>
          <w:sz w:val="22"/>
          <w:szCs w:val="22"/>
          <w:lang w:bidi="ar-SA"/>
        </w:rPr>
        <w:t>Students’ Cognition and Attitude</w:t>
      </w:r>
    </w:p>
    <w:p w14:paraId="773768F2" w14:textId="77777777" w:rsidR="00C743AC" w:rsidRPr="00EB32D6" w:rsidRDefault="00000000">
      <w:pPr>
        <w:jc w:val="center"/>
        <w:rPr>
          <w:rFonts w:ascii="Times New Roman" w:hAnsi="Times New Roman" w:cs="Times New Roman"/>
          <w:sz w:val="22"/>
          <w:szCs w:val="22"/>
        </w:rPr>
      </w:pPr>
      <w:r w:rsidRPr="00EB32D6">
        <w:rPr>
          <w:rFonts w:ascii="Times New Roman" w:hAnsi="Times New Roman" w:cs="Times New Roman"/>
          <w:noProof/>
          <w:sz w:val="22"/>
          <w:szCs w:val="22"/>
        </w:rPr>
        <w:lastRenderedPageBreak/>
        <w:drawing>
          <wp:inline distT="0" distB="0" distL="114300" distR="114300" wp14:anchorId="07A5FBF4" wp14:editId="1F877419">
            <wp:extent cx="2483501" cy="2266950"/>
            <wp:effectExtent l="0" t="0" r="0" b="0"/>
            <wp:docPr id="2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7"/>
                    <pic:cNvPicPr>
                      <a:picLocks noChangeAspect="1"/>
                    </pic:cNvPicPr>
                  </pic:nvPicPr>
                  <pic:blipFill>
                    <a:blip r:embed="rId4"/>
                    <a:stretch>
                      <a:fillRect/>
                    </a:stretch>
                  </pic:blipFill>
                  <pic:spPr>
                    <a:xfrm>
                      <a:off x="0" y="0"/>
                      <a:ext cx="2490769" cy="2273584"/>
                    </a:xfrm>
                    <a:prstGeom prst="rect">
                      <a:avLst/>
                    </a:prstGeom>
                    <a:noFill/>
                    <a:ln>
                      <a:noFill/>
                    </a:ln>
                  </pic:spPr>
                </pic:pic>
              </a:graphicData>
            </a:graphic>
          </wp:inline>
        </w:drawing>
      </w:r>
    </w:p>
    <w:p w14:paraId="23C1F38B" w14:textId="77777777" w:rsidR="00C743AC" w:rsidRPr="00EB32D6" w:rsidRDefault="00000000">
      <w:pPr>
        <w:spacing w:line="180" w:lineRule="atLeast"/>
        <w:jc w:val="center"/>
        <w:rPr>
          <w:rFonts w:ascii="Times New Roman" w:eastAsia="SimSun" w:hAnsi="Times New Roman" w:cs="Times New Roman"/>
          <w:color w:val="000000"/>
          <w:sz w:val="22"/>
          <w:szCs w:val="22"/>
          <w:lang w:bidi="ar"/>
        </w:rPr>
      </w:pPr>
      <w:r w:rsidRPr="00EB32D6">
        <w:rPr>
          <w:rFonts w:ascii="Times New Roman" w:eastAsia="SimSun" w:hAnsi="Times New Roman" w:cs="Times New Roman"/>
          <w:color w:val="000000"/>
          <w:sz w:val="22"/>
          <w:szCs w:val="22"/>
          <w:lang w:bidi="ar"/>
        </w:rPr>
        <w:t>Figure 1 Distribution of Students' Theoretical Recognition Level</w:t>
      </w:r>
    </w:p>
    <w:p w14:paraId="62A8D710" w14:textId="77777777" w:rsidR="00C743AC" w:rsidRPr="00EB32D6" w:rsidRDefault="00000000">
      <w:pPr>
        <w:jc w:val="both"/>
        <w:rPr>
          <w:rFonts w:ascii="Times New Roman" w:eastAsia="SimSun" w:hAnsi="Times New Roman" w:cs="Times New Roman"/>
          <w:sz w:val="22"/>
          <w:szCs w:val="22"/>
          <w:lang w:bidi="ar-SA"/>
        </w:rPr>
      </w:pPr>
      <w:r w:rsidRPr="00EB32D6">
        <w:rPr>
          <w:rFonts w:ascii="Times New Roman" w:eastAsia="SimSun" w:hAnsi="Times New Roman" w:cs="Times New Roman"/>
          <w:sz w:val="22"/>
          <w:szCs w:val="22"/>
          <w:lang w:bidi="ar-SA"/>
        </w:rPr>
        <w:t>Figure 1 note: This pie chart shows the proportion of students at different recognition levels. 45.0% highly recognized, 39.9% basically recognized, 15.1% unrecognized.</w:t>
      </w:r>
    </w:p>
    <w:p w14:paraId="024F6A2A" w14:textId="77777777" w:rsidR="00C743AC" w:rsidRPr="00EB32D6" w:rsidRDefault="00000000">
      <w:pPr>
        <w:jc w:val="both"/>
        <w:rPr>
          <w:rFonts w:ascii="Times New Roman" w:eastAsia="SimSun" w:hAnsi="Times New Roman" w:cs="Times New Roman"/>
          <w:sz w:val="22"/>
          <w:szCs w:val="22"/>
          <w:lang w:bidi="ar-SA"/>
        </w:rPr>
      </w:pPr>
      <w:r w:rsidRPr="00EB32D6">
        <w:rPr>
          <w:rFonts w:ascii="Times New Roman" w:eastAsia="SimSun" w:hAnsi="Times New Roman" w:cs="Times New Roman"/>
          <w:sz w:val="22"/>
          <w:szCs w:val="22"/>
          <w:lang w:bidi="ar-SA"/>
        </w:rPr>
        <w:t>Figure 1 shows 84.9% of students "highly recognized" (45.0%) or "basically recognized" (39.9%) the "Growing Circle" theory. Grade differences in students’ cognition and participation willingness further reflect the necessity of hierarchical teaching (Figure 2). Freshmen had the highest theoretical cognition (M=4.12), while sophomores showed the strongest participation willingness (M=3.72).</w:t>
      </w:r>
    </w:p>
    <w:p w14:paraId="3BA88F92" w14:textId="77777777" w:rsidR="00C743AC" w:rsidRPr="00EB32D6" w:rsidRDefault="00C743AC">
      <w:pPr>
        <w:spacing w:line="180" w:lineRule="atLeast"/>
        <w:rPr>
          <w:rFonts w:ascii="Times New Roman" w:eastAsia="SimSun" w:hAnsi="Times New Roman" w:cs="Times New Roman"/>
          <w:color w:val="000000"/>
          <w:sz w:val="22"/>
          <w:szCs w:val="22"/>
          <w:lang w:bidi="ar"/>
        </w:rPr>
      </w:pPr>
    </w:p>
    <w:p w14:paraId="4C98A45D" w14:textId="77777777" w:rsidR="00C743AC" w:rsidRPr="00EB32D6" w:rsidRDefault="00000000">
      <w:pPr>
        <w:spacing w:line="180" w:lineRule="atLeast"/>
        <w:jc w:val="center"/>
        <w:rPr>
          <w:rFonts w:ascii="Times New Roman" w:hAnsi="Times New Roman" w:cs="Times New Roman"/>
          <w:sz w:val="22"/>
          <w:szCs w:val="22"/>
        </w:rPr>
      </w:pPr>
      <w:r w:rsidRPr="00EB32D6">
        <w:rPr>
          <w:rFonts w:ascii="Times New Roman" w:hAnsi="Times New Roman" w:cs="Times New Roman"/>
          <w:noProof/>
          <w:sz w:val="22"/>
          <w:szCs w:val="22"/>
        </w:rPr>
        <w:drawing>
          <wp:inline distT="0" distB="0" distL="114300" distR="114300" wp14:anchorId="1AB34E77" wp14:editId="6BD5DEC7">
            <wp:extent cx="2957830" cy="1759585"/>
            <wp:effectExtent l="0" t="0" r="4445" b="2540"/>
            <wp:docPr id="22"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9"/>
                    <pic:cNvPicPr>
                      <a:picLocks noChangeAspect="1"/>
                    </pic:cNvPicPr>
                  </pic:nvPicPr>
                  <pic:blipFill>
                    <a:blip r:embed="rId5"/>
                    <a:stretch>
                      <a:fillRect/>
                    </a:stretch>
                  </pic:blipFill>
                  <pic:spPr>
                    <a:xfrm>
                      <a:off x="0" y="0"/>
                      <a:ext cx="2957830" cy="1759585"/>
                    </a:xfrm>
                    <a:prstGeom prst="rect">
                      <a:avLst/>
                    </a:prstGeom>
                    <a:noFill/>
                    <a:ln>
                      <a:noFill/>
                    </a:ln>
                  </pic:spPr>
                </pic:pic>
              </a:graphicData>
            </a:graphic>
          </wp:inline>
        </w:drawing>
      </w:r>
    </w:p>
    <w:p w14:paraId="16E669D7" w14:textId="77777777" w:rsidR="00C743AC" w:rsidRPr="00EB32D6" w:rsidRDefault="00000000">
      <w:pPr>
        <w:spacing w:line="180" w:lineRule="atLeast"/>
        <w:jc w:val="center"/>
        <w:rPr>
          <w:rFonts w:ascii="Times New Roman" w:eastAsia="SimSun" w:hAnsi="Times New Roman" w:cs="Times New Roman"/>
          <w:color w:val="000000"/>
          <w:sz w:val="22"/>
          <w:szCs w:val="22"/>
          <w:lang w:bidi="ar"/>
        </w:rPr>
      </w:pPr>
      <w:r w:rsidRPr="00EB32D6">
        <w:rPr>
          <w:rFonts w:ascii="Times New Roman" w:eastAsia="SimSun" w:hAnsi="Times New Roman" w:cs="Times New Roman"/>
          <w:color w:val="000000"/>
          <w:sz w:val="22"/>
          <w:szCs w:val="22"/>
          <w:lang w:bidi="ar"/>
        </w:rPr>
        <w:t xml:space="preserve">Figure 2 Mean Scores of </w:t>
      </w:r>
      <w:proofErr w:type="gramStart"/>
      <w:r w:rsidRPr="00EB32D6">
        <w:rPr>
          <w:rFonts w:ascii="Times New Roman" w:eastAsia="SimSun" w:hAnsi="Times New Roman" w:cs="Times New Roman"/>
          <w:color w:val="000000"/>
          <w:sz w:val="22"/>
          <w:szCs w:val="22"/>
          <w:lang w:bidi="ar"/>
        </w:rPr>
        <w:t>Cognition</w:t>
      </w:r>
      <w:proofErr w:type="gramEnd"/>
      <w:r w:rsidRPr="00EB32D6">
        <w:rPr>
          <w:rFonts w:ascii="Times New Roman" w:eastAsia="SimSun" w:hAnsi="Times New Roman" w:cs="Times New Roman"/>
          <w:color w:val="000000"/>
          <w:sz w:val="22"/>
          <w:szCs w:val="22"/>
          <w:lang w:bidi="ar"/>
        </w:rPr>
        <w:t xml:space="preserve"> and Attitude by Grade</w:t>
      </w:r>
    </w:p>
    <w:p w14:paraId="20771FB8" w14:textId="77777777" w:rsidR="00C743AC" w:rsidRPr="00EB32D6" w:rsidRDefault="00000000">
      <w:pPr>
        <w:jc w:val="both"/>
        <w:rPr>
          <w:rFonts w:ascii="Times New Roman" w:eastAsia="SimSun" w:hAnsi="Times New Roman" w:cs="Times New Roman"/>
          <w:sz w:val="22"/>
          <w:szCs w:val="22"/>
          <w:lang w:bidi="ar-SA"/>
        </w:rPr>
      </w:pPr>
      <w:r w:rsidRPr="00EB32D6">
        <w:rPr>
          <w:rFonts w:ascii="Times New Roman" w:eastAsia="SimSun" w:hAnsi="Times New Roman" w:cs="Times New Roman"/>
          <w:sz w:val="22"/>
          <w:szCs w:val="22"/>
          <w:lang w:bidi="ar-SA"/>
        </w:rPr>
        <w:t>Figure 2 note: This combined column chart compares mean scores of theoretical cognition, recognition, and participation willingness across grades.</w:t>
      </w:r>
    </w:p>
    <w:p w14:paraId="15089BAE" w14:textId="77777777" w:rsidR="00C743AC" w:rsidRPr="00EB32D6" w:rsidRDefault="00000000">
      <w:pPr>
        <w:jc w:val="both"/>
        <w:rPr>
          <w:rFonts w:ascii="Times New Roman" w:eastAsia="SimSun" w:hAnsi="Times New Roman" w:cs="Times New Roman"/>
          <w:sz w:val="22"/>
          <w:szCs w:val="22"/>
          <w:lang w:bidi="ar-SA"/>
        </w:rPr>
      </w:pPr>
      <w:r w:rsidRPr="00EB32D6">
        <w:rPr>
          <w:rFonts w:ascii="Times New Roman" w:eastAsia="SimSun" w:hAnsi="Times New Roman" w:cs="Times New Roman"/>
          <w:sz w:val="22"/>
          <w:szCs w:val="22"/>
          <w:lang w:bidi="ar-SA"/>
        </w:rPr>
        <w:t>Application Effect of the "Growing Circle" Theory</w:t>
      </w:r>
    </w:p>
    <w:p w14:paraId="064920C8" w14:textId="77777777" w:rsidR="00C743AC" w:rsidRPr="00EB32D6" w:rsidRDefault="00000000">
      <w:pPr>
        <w:jc w:val="both"/>
        <w:rPr>
          <w:rFonts w:ascii="Times New Roman" w:eastAsia="SimSun" w:hAnsi="Times New Roman" w:cs="Times New Roman"/>
          <w:sz w:val="22"/>
          <w:szCs w:val="22"/>
          <w:lang w:bidi="ar-SA"/>
        </w:rPr>
      </w:pPr>
      <w:r w:rsidRPr="00EB32D6">
        <w:rPr>
          <w:rFonts w:ascii="Times New Roman" w:eastAsia="SimSun" w:hAnsi="Times New Roman" w:cs="Times New Roman"/>
          <w:sz w:val="22"/>
          <w:szCs w:val="22"/>
          <w:lang w:bidi="ar-SA"/>
        </w:rPr>
        <w:t>Quantitative Results</w:t>
      </w:r>
    </w:p>
    <w:p w14:paraId="193EBBE2" w14:textId="3A7582CC" w:rsidR="00C743AC" w:rsidRPr="00EB32D6" w:rsidRDefault="00000000">
      <w:pPr>
        <w:jc w:val="both"/>
        <w:rPr>
          <w:rFonts w:ascii="Times New Roman" w:eastAsia="SimSun" w:hAnsi="Times New Roman" w:cs="Times New Roman"/>
          <w:sz w:val="22"/>
          <w:szCs w:val="22"/>
          <w:lang w:bidi="ar-SA"/>
        </w:rPr>
      </w:pPr>
      <w:r w:rsidRPr="00EB32D6">
        <w:rPr>
          <w:rFonts w:ascii="Times New Roman" w:eastAsia="SimSun" w:hAnsi="Times New Roman" w:cs="Times New Roman"/>
          <w:sz w:val="22"/>
          <w:szCs w:val="22"/>
          <w:lang w:bidi="ar-SA"/>
        </w:rPr>
        <w:t>The framework’s overall effectiveness was moderate-to-high, with aesthetic inclusiveness (M=3.65) leading, followed by learning mentality (M=3.78) and professional creation ability (M=3.71). Among aesthetic inclusiveness sub-dimensions, diversified aesthetic cognition scored highest (M=3.72), while audience aesthetic adaptation was lowest (M=3.59) (Figure 3</w:t>
      </w:r>
      <w:proofErr w:type="gramStart"/>
      <w:r w:rsidRPr="00EB32D6">
        <w:rPr>
          <w:rFonts w:ascii="Times New Roman" w:eastAsia="SimSun" w:hAnsi="Times New Roman" w:cs="Times New Roman"/>
          <w:sz w:val="22"/>
          <w:szCs w:val="22"/>
          <w:lang w:bidi="ar-SA"/>
        </w:rPr>
        <w:t>).Significant</w:t>
      </w:r>
      <w:proofErr w:type="gramEnd"/>
      <w:r w:rsidRPr="00EB32D6">
        <w:rPr>
          <w:rFonts w:ascii="Times New Roman" w:eastAsia="SimSun" w:hAnsi="Times New Roman" w:cs="Times New Roman"/>
          <w:sz w:val="22"/>
          <w:szCs w:val="22"/>
          <w:lang w:bidi="ar-SA"/>
        </w:rPr>
        <w:t xml:space="preserve"> differences were found across professional foundations: students with excellent foundations showed the highest improvement (M=0.95), followed by medium (M=0.72) and weak (M=0.65) (Figure 4). Independent samples t-tests confirmed experimental group post-test scores (resilience: 3.98±0.45; aesthetic inclusiveness: 3.85±0.41; professional creativity: 3.82±0.48) were significantly higher than the control group (p&lt;.001) (Table 1).</w:t>
      </w:r>
    </w:p>
    <w:p w14:paraId="16BA860D" w14:textId="77777777" w:rsidR="00C743AC" w:rsidRPr="00EB32D6" w:rsidRDefault="00C743AC">
      <w:pPr>
        <w:jc w:val="both"/>
        <w:rPr>
          <w:rFonts w:ascii="Times New Roman" w:eastAsia="SimSun" w:hAnsi="Times New Roman" w:cs="Times New Roman"/>
          <w:sz w:val="22"/>
          <w:szCs w:val="22"/>
          <w:lang w:bidi="ar-SA"/>
        </w:rPr>
      </w:pPr>
    </w:p>
    <w:p w14:paraId="0CB55600" w14:textId="77777777" w:rsidR="00C743AC" w:rsidRPr="00EB32D6" w:rsidRDefault="00000000">
      <w:pPr>
        <w:spacing w:line="180" w:lineRule="atLeast"/>
        <w:jc w:val="center"/>
        <w:rPr>
          <w:rFonts w:ascii="Times New Roman" w:eastAsia="SimSun" w:hAnsi="Times New Roman" w:cs="Times New Roman"/>
          <w:sz w:val="22"/>
          <w:szCs w:val="22"/>
        </w:rPr>
      </w:pPr>
      <w:r w:rsidRPr="00EB32D6">
        <w:rPr>
          <w:rFonts w:ascii="Times New Roman" w:eastAsia="SimSun" w:hAnsi="Times New Roman" w:cs="Times New Roman"/>
          <w:noProof/>
          <w:sz w:val="22"/>
          <w:szCs w:val="22"/>
        </w:rPr>
        <w:drawing>
          <wp:inline distT="0" distB="0" distL="114300" distR="114300" wp14:anchorId="06D0774D" wp14:editId="067D73F5">
            <wp:extent cx="4224655" cy="1675765"/>
            <wp:effectExtent l="0" t="0" r="4445" b="635"/>
            <wp:docPr id="18"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5" descr="IMG_256"/>
                    <pic:cNvPicPr>
                      <a:picLocks noChangeAspect="1"/>
                    </pic:cNvPicPr>
                  </pic:nvPicPr>
                  <pic:blipFill>
                    <a:blip r:embed="rId6"/>
                    <a:stretch>
                      <a:fillRect/>
                    </a:stretch>
                  </pic:blipFill>
                  <pic:spPr>
                    <a:xfrm>
                      <a:off x="0" y="0"/>
                      <a:ext cx="4224655" cy="1675765"/>
                    </a:xfrm>
                    <a:prstGeom prst="rect">
                      <a:avLst/>
                    </a:prstGeom>
                    <a:noFill/>
                    <a:ln w="9525">
                      <a:noFill/>
                    </a:ln>
                  </pic:spPr>
                </pic:pic>
              </a:graphicData>
            </a:graphic>
          </wp:inline>
        </w:drawing>
      </w:r>
    </w:p>
    <w:p w14:paraId="23B0F719" w14:textId="77777777" w:rsidR="00C743AC" w:rsidRPr="00EB32D6" w:rsidRDefault="00000000">
      <w:pPr>
        <w:spacing w:line="180" w:lineRule="atLeast"/>
        <w:jc w:val="center"/>
        <w:rPr>
          <w:rFonts w:ascii="Times New Roman" w:eastAsia="SimSun" w:hAnsi="Times New Roman" w:cs="Times New Roman"/>
          <w:color w:val="000000"/>
          <w:sz w:val="22"/>
          <w:szCs w:val="22"/>
          <w:lang w:bidi="ar"/>
        </w:rPr>
      </w:pPr>
      <w:r w:rsidRPr="00EB32D6">
        <w:rPr>
          <w:rFonts w:ascii="Times New Roman" w:eastAsia="SimSun" w:hAnsi="Times New Roman" w:cs="Times New Roman"/>
          <w:color w:val="000000"/>
          <w:sz w:val="22"/>
          <w:szCs w:val="22"/>
          <w:lang w:bidi="ar"/>
        </w:rPr>
        <w:t>Figure 3 Sub-dimensions of Aesthetic Inclusiveness</w:t>
      </w:r>
    </w:p>
    <w:p w14:paraId="57043D4B" w14:textId="77777777" w:rsidR="00C743AC" w:rsidRPr="00EB32D6" w:rsidRDefault="00000000">
      <w:pPr>
        <w:jc w:val="both"/>
        <w:rPr>
          <w:rFonts w:ascii="Times New Roman" w:eastAsia="SimSun" w:hAnsi="Times New Roman" w:cs="Times New Roman"/>
          <w:sz w:val="22"/>
          <w:szCs w:val="22"/>
          <w:lang w:bidi="ar-SA"/>
        </w:rPr>
      </w:pPr>
      <w:r w:rsidRPr="00EB32D6">
        <w:rPr>
          <w:rFonts w:ascii="Times New Roman" w:eastAsia="SimSun" w:hAnsi="Times New Roman" w:cs="Times New Roman"/>
          <w:sz w:val="22"/>
          <w:szCs w:val="22"/>
          <w:lang w:bidi="ar-SA"/>
        </w:rPr>
        <w:t>Figure 3 note: This line chart shows mean scores of three sub-dimensions: diversified aesthetic cognition, inclusive creative practice, audience aesthetic adaptation.</w:t>
      </w:r>
    </w:p>
    <w:p w14:paraId="58B03D76" w14:textId="77777777" w:rsidR="00C743AC" w:rsidRPr="00EB32D6" w:rsidRDefault="00000000">
      <w:pPr>
        <w:spacing w:line="180" w:lineRule="atLeast"/>
        <w:jc w:val="center"/>
        <w:rPr>
          <w:rFonts w:ascii="Times New Roman" w:eastAsia="SimSun" w:hAnsi="Times New Roman" w:cs="Times New Roman"/>
          <w:sz w:val="22"/>
          <w:szCs w:val="22"/>
        </w:rPr>
      </w:pPr>
      <w:r w:rsidRPr="00EB32D6">
        <w:rPr>
          <w:rFonts w:ascii="Times New Roman" w:eastAsia="SimSun" w:hAnsi="Times New Roman" w:cs="Times New Roman"/>
          <w:noProof/>
          <w:sz w:val="22"/>
          <w:szCs w:val="22"/>
        </w:rPr>
        <w:drawing>
          <wp:inline distT="0" distB="0" distL="114300" distR="114300" wp14:anchorId="15D62D36" wp14:editId="549134BA">
            <wp:extent cx="4334510" cy="1423670"/>
            <wp:effectExtent l="0" t="0" r="8890" b="5080"/>
            <wp:docPr id="23" name="图片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10" descr="IMG_256"/>
                    <pic:cNvPicPr>
                      <a:picLocks noChangeAspect="1"/>
                    </pic:cNvPicPr>
                  </pic:nvPicPr>
                  <pic:blipFill>
                    <a:blip r:embed="rId7"/>
                    <a:stretch>
                      <a:fillRect/>
                    </a:stretch>
                  </pic:blipFill>
                  <pic:spPr>
                    <a:xfrm>
                      <a:off x="0" y="0"/>
                      <a:ext cx="4334510" cy="1423670"/>
                    </a:xfrm>
                    <a:prstGeom prst="rect">
                      <a:avLst/>
                    </a:prstGeom>
                    <a:noFill/>
                    <a:ln w="9525">
                      <a:noFill/>
                    </a:ln>
                  </pic:spPr>
                </pic:pic>
              </a:graphicData>
            </a:graphic>
          </wp:inline>
        </w:drawing>
      </w:r>
    </w:p>
    <w:p w14:paraId="7C32C230" w14:textId="77777777" w:rsidR="00C743AC" w:rsidRPr="00EB32D6" w:rsidRDefault="00000000">
      <w:pPr>
        <w:jc w:val="center"/>
        <w:rPr>
          <w:rFonts w:ascii="Times New Roman" w:eastAsia="SimSun" w:hAnsi="Times New Roman" w:cs="Times New Roman"/>
          <w:sz w:val="22"/>
          <w:szCs w:val="22"/>
          <w:lang w:bidi="ar-SA"/>
        </w:rPr>
      </w:pPr>
      <w:r w:rsidRPr="00EB32D6">
        <w:rPr>
          <w:rFonts w:ascii="Times New Roman" w:eastAsia="SimSun" w:hAnsi="Times New Roman" w:cs="Times New Roman"/>
          <w:sz w:val="22"/>
          <w:szCs w:val="22"/>
          <w:lang w:bidi="ar-SA"/>
        </w:rPr>
        <w:t>Figure 4 Mean Improvement Scores of Application Effect by Professional Foundation</w:t>
      </w:r>
    </w:p>
    <w:p w14:paraId="4250A1F9" w14:textId="77777777" w:rsidR="00C743AC" w:rsidRPr="00EB32D6" w:rsidRDefault="00000000">
      <w:pPr>
        <w:jc w:val="both"/>
        <w:rPr>
          <w:rFonts w:ascii="Times New Roman" w:eastAsia="SimSun" w:hAnsi="Times New Roman" w:cs="Times New Roman"/>
          <w:sz w:val="22"/>
          <w:szCs w:val="22"/>
          <w:lang w:bidi="ar-SA"/>
        </w:rPr>
      </w:pPr>
      <w:r w:rsidRPr="00EB32D6">
        <w:rPr>
          <w:rFonts w:ascii="Times New Roman" w:eastAsia="SimSun" w:hAnsi="Times New Roman" w:cs="Times New Roman"/>
          <w:sz w:val="22"/>
          <w:szCs w:val="22"/>
          <w:lang w:bidi="ar-SA"/>
        </w:rPr>
        <w:t xml:space="preserve">Figure 4 note: This grouped column chart compares improvement </w:t>
      </w:r>
      <w:proofErr w:type="spellStart"/>
      <w:r w:rsidRPr="00EB32D6">
        <w:rPr>
          <w:rFonts w:ascii="Times New Roman" w:eastAsia="SimSun" w:hAnsi="Times New Roman" w:cs="Times New Roman"/>
          <w:sz w:val="22"/>
          <w:szCs w:val="22"/>
          <w:lang w:bidi="ar-SA"/>
        </w:rPr>
        <w:t>scores</w:t>
      </w:r>
      <w:proofErr w:type="spellEnd"/>
      <w:r w:rsidRPr="00EB32D6">
        <w:rPr>
          <w:rFonts w:ascii="Times New Roman" w:eastAsia="SimSun" w:hAnsi="Times New Roman" w:cs="Times New Roman"/>
          <w:sz w:val="22"/>
          <w:szCs w:val="22"/>
          <w:lang w:bidi="ar-SA"/>
        </w:rPr>
        <w:t xml:space="preserve"> across professional foundation levels, with students with excellent foundations showing the most significant improvement (M=0.95).</w:t>
      </w:r>
    </w:p>
    <w:p w14:paraId="2A62B516" w14:textId="77777777" w:rsidR="00C743AC" w:rsidRPr="00EB32D6" w:rsidRDefault="00C743AC">
      <w:pPr>
        <w:spacing w:line="180" w:lineRule="atLeast"/>
        <w:rPr>
          <w:rFonts w:ascii="Times New Roman" w:eastAsia="SimSun" w:hAnsi="Times New Roman" w:cs="Times New Roman"/>
          <w:color w:val="000000"/>
          <w:sz w:val="22"/>
          <w:szCs w:val="22"/>
          <w:lang w:bidi="ar"/>
        </w:rPr>
      </w:pPr>
    </w:p>
    <w:tbl>
      <w:tblPr>
        <w:tblStyle w:val="a5"/>
        <w:tblW w:w="8951" w:type="dxa"/>
        <w:jc w:val="center"/>
        <w:tblBorders>
          <w:top w:val="none" w:sz="4" w:space="0" w:color="auto"/>
          <w:left w:val="none" w:sz="4" w:space="0" w:color="auto"/>
          <w:bottom w:val="none" w:sz="4" w:space="0" w:color="auto"/>
          <w:right w:val="none" w:sz="4" w:space="0" w:color="auto"/>
          <w:insideH w:val="none" w:sz="4" w:space="0" w:color="auto"/>
          <w:insideV w:val="none" w:sz="4" w:space="0" w:color="auto"/>
        </w:tblBorders>
        <w:tblLook w:val="04A0" w:firstRow="1" w:lastRow="0" w:firstColumn="1" w:lastColumn="0" w:noHBand="0" w:noVBand="1"/>
      </w:tblPr>
      <w:tblGrid>
        <w:gridCol w:w="2136"/>
        <w:gridCol w:w="2585"/>
        <w:gridCol w:w="1985"/>
        <w:gridCol w:w="1063"/>
        <w:gridCol w:w="1182"/>
      </w:tblGrid>
      <w:tr w:rsidR="00C743AC" w:rsidRPr="00EB32D6" w14:paraId="27F37459" w14:textId="77777777">
        <w:trPr>
          <w:tblHeader/>
          <w:jc w:val="center"/>
        </w:trPr>
        <w:tc>
          <w:tcPr>
            <w:tcW w:w="2136" w:type="dxa"/>
            <w:tcBorders>
              <w:top w:val="single" w:sz="12" w:space="0" w:color="auto"/>
              <w:left w:val="nil"/>
              <w:bottom w:val="nil"/>
              <w:right w:val="nil"/>
            </w:tcBorders>
            <w:tcMar>
              <w:top w:w="-1" w:type="dxa"/>
              <w:left w:w="-1" w:type="dxa"/>
              <w:bottom w:w="-1" w:type="dxa"/>
              <w:right w:w="-1" w:type="dxa"/>
            </w:tcMar>
            <w:vAlign w:val="center"/>
          </w:tcPr>
          <w:p w14:paraId="27C9C87D" w14:textId="77777777" w:rsidR="00C743AC" w:rsidRPr="00EB32D6" w:rsidRDefault="00000000">
            <w:pPr>
              <w:widowControl/>
              <w:snapToGrid w:val="0"/>
              <w:jc w:val="center"/>
              <w:rPr>
                <w:rFonts w:ascii="Times New Roman" w:eastAsia="SimSun" w:hAnsi="Times New Roman" w:cs="Times New Roman"/>
                <w:b/>
                <w:color w:val="000000"/>
                <w:sz w:val="22"/>
                <w:szCs w:val="22"/>
              </w:rPr>
            </w:pPr>
            <w:r w:rsidRPr="00EB32D6">
              <w:rPr>
                <w:rFonts w:ascii="Times New Roman" w:eastAsia="SimSun" w:hAnsi="Times New Roman" w:cs="Times New Roman"/>
                <w:b/>
                <w:sz w:val="22"/>
                <w:szCs w:val="22"/>
              </w:rPr>
              <w:t>Variables</w:t>
            </w:r>
          </w:p>
        </w:tc>
        <w:tc>
          <w:tcPr>
            <w:tcW w:w="0" w:type="auto"/>
            <w:tcBorders>
              <w:top w:val="single" w:sz="12" w:space="0" w:color="auto"/>
              <w:left w:val="nil"/>
              <w:bottom w:val="nil"/>
              <w:right w:val="nil"/>
            </w:tcBorders>
            <w:tcMar>
              <w:top w:w="-1" w:type="dxa"/>
              <w:left w:w="-1" w:type="dxa"/>
              <w:bottom w:w="-1" w:type="dxa"/>
              <w:right w:w="-1" w:type="dxa"/>
            </w:tcMar>
            <w:vAlign w:val="center"/>
          </w:tcPr>
          <w:p w14:paraId="031D1F6F" w14:textId="77777777" w:rsidR="00C743AC" w:rsidRPr="00EB32D6" w:rsidRDefault="00000000">
            <w:pPr>
              <w:widowControl/>
              <w:snapToGrid w:val="0"/>
              <w:jc w:val="center"/>
              <w:rPr>
                <w:rFonts w:ascii="Times New Roman" w:eastAsia="SimSun" w:hAnsi="Times New Roman" w:cs="Times New Roman"/>
                <w:b/>
                <w:sz w:val="22"/>
                <w:szCs w:val="22"/>
              </w:rPr>
            </w:pPr>
            <w:r w:rsidRPr="00EB32D6">
              <w:rPr>
                <w:rFonts w:ascii="Times New Roman" w:eastAsia="SimSun" w:hAnsi="Times New Roman" w:cs="Times New Roman"/>
                <w:b/>
                <w:sz w:val="22"/>
                <w:szCs w:val="22"/>
              </w:rPr>
              <w:t xml:space="preserve">Experimental Group </w:t>
            </w:r>
          </w:p>
          <w:p w14:paraId="0F4B8566" w14:textId="77777777" w:rsidR="00C743AC" w:rsidRPr="00EB32D6" w:rsidRDefault="00000000">
            <w:pPr>
              <w:widowControl/>
              <w:snapToGrid w:val="0"/>
              <w:jc w:val="center"/>
              <w:rPr>
                <w:rFonts w:ascii="Times New Roman" w:eastAsia="SimSun" w:hAnsi="Times New Roman" w:cs="Times New Roman"/>
                <w:b/>
                <w:color w:val="000000"/>
                <w:sz w:val="22"/>
                <w:szCs w:val="22"/>
              </w:rPr>
            </w:pPr>
            <w:r w:rsidRPr="00EB32D6">
              <w:rPr>
                <w:rFonts w:ascii="Times New Roman" w:eastAsia="SimSun" w:hAnsi="Times New Roman" w:cs="Times New Roman"/>
                <w:b/>
                <w:sz w:val="22"/>
                <w:szCs w:val="22"/>
              </w:rPr>
              <w:t>(n=43)</w:t>
            </w:r>
          </w:p>
        </w:tc>
        <w:tc>
          <w:tcPr>
            <w:tcW w:w="0" w:type="auto"/>
            <w:tcBorders>
              <w:top w:val="single" w:sz="12" w:space="0" w:color="auto"/>
              <w:left w:val="nil"/>
              <w:bottom w:val="nil"/>
              <w:right w:val="nil"/>
            </w:tcBorders>
            <w:tcMar>
              <w:top w:w="-1" w:type="dxa"/>
              <w:left w:w="-1" w:type="dxa"/>
              <w:bottom w:w="-1" w:type="dxa"/>
              <w:right w:w="-1" w:type="dxa"/>
            </w:tcMar>
            <w:vAlign w:val="center"/>
          </w:tcPr>
          <w:p w14:paraId="5F4943A4" w14:textId="77777777" w:rsidR="00C743AC" w:rsidRPr="00EB32D6" w:rsidRDefault="00000000">
            <w:pPr>
              <w:widowControl/>
              <w:snapToGrid w:val="0"/>
              <w:jc w:val="center"/>
              <w:rPr>
                <w:rFonts w:ascii="Times New Roman" w:eastAsia="SimSun" w:hAnsi="Times New Roman" w:cs="Times New Roman"/>
                <w:b/>
                <w:sz w:val="22"/>
                <w:szCs w:val="22"/>
              </w:rPr>
            </w:pPr>
            <w:r w:rsidRPr="00EB32D6">
              <w:rPr>
                <w:rFonts w:ascii="Times New Roman" w:eastAsia="SimSun" w:hAnsi="Times New Roman" w:cs="Times New Roman"/>
                <w:b/>
                <w:sz w:val="22"/>
                <w:szCs w:val="22"/>
              </w:rPr>
              <w:t xml:space="preserve">Control Group </w:t>
            </w:r>
          </w:p>
          <w:p w14:paraId="18B4D428" w14:textId="77777777" w:rsidR="00C743AC" w:rsidRPr="00EB32D6" w:rsidRDefault="00000000">
            <w:pPr>
              <w:widowControl/>
              <w:snapToGrid w:val="0"/>
              <w:jc w:val="center"/>
              <w:rPr>
                <w:rFonts w:ascii="Times New Roman" w:eastAsia="SimSun" w:hAnsi="Times New Roman" w:cs="Times New Roman"/>
                <w:b/>
                <w:color w:val="000000"/>
                <w:sz w:val="22"/>
                <w:szCs w:val="22"/>
              </w:rPr>
            </w:pPr>
            <w:r w:rsidRPr="00EB32D6">
              <w:rPr>
                <w:rFonts w:ascii="Times New Roman" w:eastAsia="SimSun" w:hAnsi="Times New Roman" w:cs="Times New Roman"/>
                <w:b/>
                <w:sz w:val="22"/>
                <w:szCs w:val="22"/>
              </w:rPr>
              <w:t>(n=43)</w:t>
            </w:r>
          </w:p>
        </w:tc>
        <w:tc>
          <w:tcPr>
            <w:tcW w:w="0" w:type="auto"/>
            <w:tcBorders>
              <w:top w:val="single" w:sz="12" w:space="0" w:color="auto"/>
              <w:left w:val="nil"/>
              <w:bottom w:val="nil"/>
              <w:right w:val="nil"/>
            </w:tcBorders>
            <w:tcMar>
              <w:top w:w="-1" w:type="dxa"/>
              <w:left w:w="-1" w:type="dxa"/>
              <w:bottom w:w="-1" w:type="dxa"/>
              <w:right w:w="-1" w:type="dxa"/>
            </w:tcMar>
            <w:vAlign w:val="center"/>
          </w:tcPr>
          <w:p w14:paraId="6C3BB362" w14:textId="77777777" w:rsidR="00C743AC" w:rsidRPr="00EB32D6" w:rsidRDefault="00000000">
            <w:pPr>
              <w:widowControl/>
              <w:snapToGrid w:val="0"/>
              <w:jc w:val="center"/>
              <w:rPr>
                <w:rFonts w:ascii="Times New Roman" w:eastAsia="SimSun" w:hAnsi="Times New Roman" w:cs="Times New Roman"/>
                <w:b/>
                <w:color w:val="000000"/>
                <w:sz w:val="22"/>
                <w:szCs w:val="22"/>
              </w:rPr>
            </w:pPr>
            <w:r w:rsidRPr="00EB32D6">
              <w:rPr>
                <w:rFonts w:ascii="Times New Roman" w:eastAsia="SimSun" w:hAnsi="Times New Roman" w:cs="Times New Roman"/>
                <w:b/>
                <w:sz w:val="22"/>
                <w:szCs w:val="22"/>
              </w:rPr>
              <w:t>t-value</w:t>
            </w:r>
          </w:p>
        </w:tc>
        <w:tc>
          <w:tcPr>
            <w:tcW w:w="1182" w:type="dxa"/>
            <w:tcBorders>
              <w:top w:val="single" w:sz="12" w:space="0" w:color="auto"/>
              <w:left w:val="nil"/>
              <w:bottom w:val="nil"/>
              <w:right w:val="nil"/>
            </w:tcBorders>
            <w:tcMar>
              <w:top w:w="-1" w:type="dxa"/>
              <w:left w:w="-1" w:type="dxa"/>
              <w:bottom w:w="-1" w:type="dxa"/>
              <w:right w:w="-1" w:type="dxa"/>
            </w:tcMar>
            <w:vAlign w:val="center"/>
          </w:tcPr>
          <w:p w14:paraId="495DA0ED" w14:textId="77777777" w:rsidR="00C743AC" w:rsidRPr="00EB32D6" w:rsidRDefault="00000000">
            <w:pPr>
              <w:widowControl/>
              <w:snapToGrid w:val="0"/>
              <w:jc w:val="center"/>
              <w:rPr>
                <w:rFonts w:ascii="Times New Roman" w:eastAsia="SimSun" w:hAnsi="Times New Roman" w:cs="Times New Roman"/>
                <w:b/>
                <w:color w:val="000000"/>
                <w:sz w:val="22"/>
                <w:szCs w:val="22"/>
              </w:rPr>
            </w:pPr>
            <w:r w:rsidRPr="00EB32D6">
              <w:rPr>
                <w:rFonts w:ascii="Times New Roman" w:eastAsia="SimSun" w:hAnsi="Times New Roman" w:cs="Times New Roman"/>
                <w:b/>
                <w:sz w:val="22"/>
                <w:szCs w:val="22"/>
              </w:rPr>
              <w:t>p-value</w:t>
            </w:r>
          </w:p>
        </w:tc>
      </w:tr>
      <w:tr w:rsidR="00C743AC" w:rsidRPr="00EB32D6" w14:paraId="0C3D40EB" w14:textId="77777777">
        <w:trPr>
          <w:jc w:val="center"/>
        </w:trPr>
        <w:tc>
          <w:tcPr>
            <w:tcW w:w="2136" w:type="dxa"/>
            <w:tcBorders>
              <w:top w:val="single" w:sz="4" w:space="0" w:color="auto"/>
              <w:left w:val="nil"/>
              <w:bottom w:val="nil"/>
              <w:right w:val="nil"/>
            </w:tcBorders>
            <w:tcMar>
              <w:top w:w="-1" w:type="dxa"/>
              <w:left w:w="-1" w:type="dxa"/>
              <w:bottom w:w="-1" w:type="dxa"/>
              <w:right w:w="-1" w:type="dxa"/>
            </w:tcMar>
            <w:vAlign w:val="center"/>
          </w:tcPr>
          <w:p w14:paraId="41C3426A" w14:textId="77777777" w:rsidR="00C743AC" w:rsidRPr="00EB32D6" w:rsidRDefault="00000000">
            <w:pPr>
              <w:widowControl/>
              <w:snapToGrid w:val="0"/>
              <w:jc w:val="center"/>
              <w:rPr>
                <w:rFonts w:ascii="Times New Roman" w:eastAsia="SimSun" w:hAnsi="Times New Roman" w:cs="Times New Roman"/>
                <w:color w:val="000000"/>
                <w:sz w:val="22"/>
                <w:szCs w:val="22"/>
              </w:rPr>
            </w:pPr>
            <w:r w:rsidRPr="00EB32D6">
              <w:rPr>
                <w:rFonts w:ascii="Times New Roman" w:eastAsia="SimSun" w:hAnsi="Times New Roman" w:cs="Times New Roman"/>
                <w:sz w:val="22"/>
                <w:szCs w:val="22"/>
              </w:rPr>
              <w:t>Resilience</w:t>
            </w:r>
          </w:p>
        </w:tc>
        <w:tc>
          <w:tcPr>
            <w:tcW w:w="0" w:type="auto"/>
            <w:tcBorders>
              <w:top w:val="single" w:sz="4" w:space="0" w:color="auto"/>
              <w:left w:val="nil"/>
              <w:bottom w:val="nil"/>
              <w:right w:val="nil"/>
            </w:tcBorders>
            <w:tcMar>
              <w:top w:w="-1" w:type="dxa"/>
              <w:left w:w="-1" w:type="dxa"/>
              <w:bottom w:w="-1" w:type="dxa"/>
              <w:right w:w="-1" w:type="dxa"/>
            </w:tcMar>
            <w:vAlign w:val="center"/>
          </w:tcPr>
          <w:p w14:paraId="7AD7AC4E" w14:textId="77777777" w:rsidR="00C743AC" w:rsidRPr="00EB32D6" w:rsidRDefault="00000000">
            <w:pPr>
              <w:widowControl/>
              <w:snapToGrid w:val="0"/>
              <w:jc w:val="center"/>
              <w:rPr>
                <w:rFonts w:ascii="Times New Roman" w:eastAsia="SimSun" w:hAnsi="Times New Roman" w:cs="Times New Roman"/>
                <w:color w:val="000000"/>
                <w:sz w:val="22"/>
                <w:szCs w:val="22"/>
              </w:rPr>
            </w:pPr>
            <w:r w:rsidRPr="00EB32D6">
              <w:rPr>
                <w:rFonts w:ascii="Times New Roman" w:eastAsia="SimSun" w:hAnsi="Times New Roman" w:cs="Times New Roman"/>
                <w:sz w:val="22"/>
                <w:szCs w:val="22"/>
              </w:rPr>
              <w:t>3.98 ± 0.45</w:t>
            </w:r>
          </w:p>
        </w:tc>
        <w:tc>
          <w:tcPr>
            <w:tcW w:w="0" w:type="auto"/>
            <w:tcBorders>
              <w:top w:val="single" w:sz="4" w:space="0" w:color="auto"/>
              <w:left w:val="nil"/>
              <w:bottom w:val="nil"/>
              <w:right w:val="nil"/>
            </w:tcBorders>
            <w:tcMar>
              <w:top w:w="-1" w:type="dxa"/>
              <w:left w:w="-1" w:type="dxa"/>
              <w:bottom w:w="-1" w:type="dxa"/>
              <w:right w:w="-1" w:type="dxa"/>
            </w:tcMar>
            <w:vAlign w:val="center"/>
          </w:tcPr>
          <w:p w14:paraId="3EFA1755" w14:textId="77777777" w:rsidR="00C743AC" w:rsidRPr="00EB32D6" w:rsidRDefault="00000000">
            <w:pPr>
              <w:widowControl/>
              <w:snapToGrid w:val="0"/>
              <w:jc w:val="center"/>
              <w:rPr>
                <w:rFonts w:ascii="Times New Roman" w:eastAsia="SimSun" w:hAnsi="Times New Roman" w:cs="Times New Roman"/>
                <w:color w:val="000000"/>
                <w:sz w:val="22"/>
                <w:szCs w:val="22"/>
              </w:rPr>
            </w:pPr>
            <w:r w:rsidRPr="00EB32D6">
              <w:rPr>
                <w:rFonts w:ascii="Times New Roman" w:eastAsia="SimSun" w:hAnsi="Times New Roman" w:cs="Times New Roman"/>
                <w:sz w:val="22"/>
                <w:szCs w:val="22"/>
              </w:rPr>
              <w:t>3.22 ± 0.58</w:t>
            </w:r>
          </w:p>
        </w:tc>
        <w:tc>
          <w:tcPr>
            <w:tcW w:w="0" w:type="auto"/>
            <w:tcBorders>
              <w:top w:val="single" w:sz="4" w:space="0" w:color="auto"/>
              <w:left w:val="nil"/>
              <w:bottom w:val="nil"/>
              <w:right w:val="nil"/>
            </w:tcBorders>
            <w:tcMar>
              <w:top w:w="-1" w:type="dxa"/>
              <w:left w:w="-1" w:type="dxa"/>
              <w:bottom w:w="-1" w:type="dxa"/>
              <w:right w:w="-1" w:type="dxa"/>
            </w:tcMar>
            <w:vAlign w:val="center"/>
          </w:tcPr>
          <w:p w14:paraId="1B5E0068" w14:textId="77777777" w:rsidR="00C743AC" w:rsidRPr="00EB32D6" w:rsidRDefault="00000000">
            <w:pPr>
              <w:widowControl/>
              <w:snapToGrid w:val="0"/>
              <w:jc w:val="center"/>
              <w:rPr>
                <w:rFonts w:ascii="Times New Roman" w:eastAsia="SimSun" w:hAnsi="Times New Roman" w:cs="Times New Roman"/>
                <w:color w:val="000000"/>
                <w:sz w:val="22"/>
                <w:szCs w:val="22"/>
              </w:rPr>
            </w:pPr>
            <w:r w:rsidRPr="00EB32D6">
              <w:rPr>
                <w:rFonts w:ascii="Times New Roman" w:eastAsia="SimSun" w:hAnsi="Times New Roman" w:cs="Times New Roman"/>
                <w:sz w:val="22"/>
                <w:szCs w:val="22"/>
              </w:rPr>
              <w:t>7.02</w:t>
            </w:r>
          </w:p>
        </w:tc>
        <w:tc>
          <w:tcPr>
            <w:tcW w:w="1182" w:type="dxa"/>
            <w:tcBorders>
              <w:top w:val="single" w:sz="4" w:space="0" w:color="auto"/>
              <w:left w:val="nil"/>
              <w:bottom w:val="nil"/>
              <w:right w:val="nil"/>
            </w:tcBorders>
            <w:tcMar>
              <w:top w:w="-1" w:type="dxa"/>
              <w:left w:w="-1" w:type="dxa"/>
              <w:bottom w:w="-1" w:type="dxa"/>
              <w:right w:w="-1" w:type="dxa"/>
            </w:tcMar>
            <w:vAlign w:val="center"/>
          </w:tcPr>
          <w:p w14:paraId="0042582C" w14:textId="77777777" w:rsidR="00C743AC" w:rsidRPr="00EB32D6" w:rsidRDefault="00000000">
            <w:pPr>
              <w:widowControl/>
              <w:snapToGrid w:val="0"/>
              <w:jc w:val="center"/>
              <w:rPr>
                <w:rFonts w:ascii="Times New Roman" w:eastAsia="SimSun" w:hAnsi="Times New Roman" w:cs="Times New Roman"/>
                <w:color w:val="000000"/>
                <w:sz w:val="22"/>
                <w:szCs w:val="22"/>
              </w:rPr>
            </w:pPr>
            <w:r w:rsidRPr="00EB32D6">
              <w:rPr>
                <w:rFonts w:ascii="Times New Roman" w:eastAsia="SimSun" w:hAnsi="Times New Roman" w:cs="Times New Roman"/>
                <w:sz w:val="22"/>
                <w:szCs w:val="22"/>
              </w:rPr>
              <w:t>&lt; 0.001</w:t>
            </w:r>
          </w:p>
        </w:tc>
      </w:tr>
      <w:tr w:rsidR="00C743AC" w:rsidRPr="00EB32D6" w14:paraId="4861EF82" w14:textId="77777777">
        <w:trPr>
          <w:jc w:val="center"/>
        </w:trPr>
        <w:tc>
          <w:tcPr>
            <w:tcW w:w="2136" w:type="dxa"/>
            <w:tcBorders>
              <w:top w:val="nil"/>
              <w:left w:val="nil"/>
              <w:bottom w:val="nil"/>
              <w:right w:val="nil"/>
            </w:tcBorders>
            <w:tcMar>
              <w:top w:w="-1" w:type="dxa"/>
              <w:left w:w="-1" w:type="dxa"/>
              <w:bottom w:w="-1" w:type="dxa"/>
              <w:right w:w="-1" w:type="dxa"/>
            </w:tcMar>
            <w:vAlign w:val="center"/>
          </w:tcPr>
          <w:p w14:paraId="24F01BF1" w14:textId="77777777" w:rsidR="00C743AC" w:rsidRPr="00EB32D6" w:rsidRDefault="00000000">
            <w:pPr>
              <w:widowControl/>
              <w:snapToGrid w:val="0"/>
              <w:jc w:val="center"/>
              <w:rPr>
                <w:rFonts w:ascii="Times New Roman" w:eastAsia="SimSun" w:hAnsi="Times New Roman" w:cs="Times New Roman"/>
                <w:color w:val="000000"/>
                <w:sz w:val="22"/>
                <w:szCs w:val="22"/>
              </w:rPr>
            </w:pPr>
            <w:r w:rsidRPr="00EB32D6">
              <w:rPr>
                <w:rFonts w:ascii="Times New Roman" w:eastAsia="SimSun" w:hAnsi="Times New Roman" w:cs="Times New Roman"/>
                <w:sz w:val="22"/>
                <w:szCs w:val="22"/>
              </w:rPr>
              <w:t>Aesthetic Inclusiveness</w:t>
            </w:r>
          </w:p>
        </w:tc>
        <w:tc>
          <w:tcPr>
            <w:tcW w:w="0" w:type="auto"/>
            <w:tcBorders>
              <w:top w:val="nil"/>
              <w:left w:val="nil"/>
              <w:bottom w:val="nil"/>
              <w:right w:val="nil"/>
            </w:tcBorders>
            <w:tcMar>
              <w:top w:w="-1" w:type="dxa"/>
              <w:left w:w="-1" w:type="dxa"/>
              <w:bottom w:w="-1" w:type="dxa"/>
              <w:right w:w="-1" w:type="dxa"/>
            </w:tcMar>
            <w:vAlign w:val="center"/>
          </w:tcPr>
          <w:p w14:paraId="2A6CA09E" w14:textId="77777777" w:rsidR="00C743AC" w:rsidRPr="00EB32D6" w:rsidRDefault="00000000">
            <w:pPr>
              <w:widowControl/>
              <w:snapToGrid w:val="0"/>
              <w:jc w:val="center"/>
              <w:rPr>
                <w:rFonts w:ascii="Times New Roman" w:eastAsia="SimSun" w:hAnsi="Times New Roman" w:cs="Times New Roman"/>
                <w:color w:val="000000"/>
                <w:sz w:val="22"/>
                <w:szCs w:val="22"/>
              </w:rPr>
            </w:pPr>
            <w:r w:rsidRPr="00EB32D6">
              <w:rPr>
                <w:rFonts w:ascii="Times New Roman" w:eastAsia="SimSun" w:hAnsi="Times New Roman" w:cs="Times New Roman"/>
                <w:sz w:val="22"/>
                <w:szCs w:val="22"/>
              </w:rPr>
              <w:t>3.85 ± 0.41</w:t>
            </w:r>
          </w:p>
        </w:tc>
        <w:tc>
          <w:tcPr>
            <w:tcW w:w="0" w:type="auto"/>
            <w:tcBorders>
              <w:top w:val="nil"/>
              <w:left w:val="nil"/>
              <w:bottom w:val="nil"/>
              <w:right w:val="nil"/>
            </w:tcBorders>
            <w:tcMar>
              <w:top w:w="-1" w:type="dxa"/>
              <w:left w:w="-1" w:type="dxa"/>
              <w:bottom w:w="-1" w:type="dxa"/>
              <w:right w:w="-1" w:type="dxa"/>
            </w:tcMar>
            <w:vAlign w:val="center"/>
          </w:tcPr>
          <w:p w14:paraId="245AA135" w14:textId="77777777" w:rsidR="00C743AC" w:rsidRPr="00EB32D6" w:rsidRDefault="00000000">
            <w:pPr>
              <w:widowControl/>
              <w:snapToGrid w:val="0"/>
              <w:jc w:val="center"/>
              <w:rPr>
                <w:rFonts w:ascii="Times New Roman" w:eastAsia="SimSun" w:hAnsi="Times New Roman" w:cs="Times New Roman"/>
                <w:color w:val="000000"/>
                <w:sz w:val="22"/>
                <w:szCs w:val="22"/>
              </w:rPr>
            </w:pPr>
            <w:r w:rsidRPr="00EB32D6">
              <w:rPr>
                <w:rFonts w:ascii="Times New Roman" w:eastAsia="SimSun" w:hAnsi="Times New Roman" w:cs="Times New Roman"/>
                <w:sz w:val="22"/>
                <w:szCs w:val="22"/>
              </w:rPr>
              <w:t>3.10 ± 0.52</w:t>
            </w:r>
          </w:p>
        </w:tc>
        <w:tc>
          <w:tcPr>
            <w:tcW w:w="0" w:type="auto"/>
            <w:tcBorders>
              <w:top w:val="nil"/>
              <w:left w:val="nil"/>
              <w:bottom w:val="nil"/>
              <w:right w:val="nil"/>
            </w:tcBorders>
            <w:tcMar>
              <w:top w:w="-1" w:type="dxa"/>
              <w:left w:w="-1" w:type="dxa"/>
              <w:bottom w:w="-1" w:type="dxa"/>
              <w:right w:w="-1" w:type="dxa"/>
            </w:tcMar>
            <w:vAlign w:val="center"/>
          </w:tcPr>
          <w:p w14:paraId="43E73B3E" w14:textId="77777777" w:rsidR="00C743AC" w:rsidRPr="00EB32D6" w:rsidRDefault="00000000">
            <w:pPr>
              <w:widowControl/>
              <w:snapToGrid w:val="0"/>
              <w:jc w:val="center"/>
              <w:rPr>
                <w:rFonts w:ascii="Times New Roman" w:eastAsia="SimSun" w:hAnsi="Times New Roman" w:cs="Times New Roman"/>
                <w:color w:val="000000"/>
                <w:sz w:val="22"/>
                <w:szCs w:val="22"/>
              </w:rPr>
            </w:pPr>
            <w:r w:rsidRPr="00EB32D6">
              <w:rPr>
                <w:rFonts w:ascii="Times New Roman" w:eastAsia="SimSun" w:hAnsi="Times New Roman" w:cs="Times New Roman"/>
                <w:sz w:val="22"/>
                <w:szCs w:val="22"/>
              </w:rPr>
              <w:t>7.45</w:t>
            </w:r>
          </w:p>
        </w:tc>
        <w:tc>
          <w:tcPr>
            <w:tcW w:w="1182" w:type="dxa"/>
            <w:tcBorders>
              <w:top w:val="nil"/>
              <w:left w:val="nil"/>
              <w:bottom w:val="nil"/>
              <w:right w:val="nil"/>
            </w:tcBorders>
            <w:tcMar>
              <w:top w:w="-1" w:type="dxa"/>
              <w:left w:w="-1" w:type="dxa"/>
              <w:bottom w:w="-1" w:type="dxa"/>
              <w:right w:w="-1" w:type="dxa"/>
            </w:tcMar>
            <w:vAlign w:val="center"/>
          </w:tcPr>
          <w:p w14:paraId="18D89893" w14:textId="77777777" w:rsidR="00C743AC" w:rsidRPr="00EB32D6" w:rsidRDefault="00000000">
            <w:pPr>
              <w:widowControl/>
              <w:snapToGrid w:val="0"/>
              <w:jc w:val="center"/>
              <w:rPr>
                <w:rFonts w:ascii="Times New Roman" w:eastAsia="SimSun" w:hAnsi="Times New Roman" w:cs="Times New Roman"/>
                <w:color w:val="000000"/>
                <w:sz w:val="22"/>
                <w:szCs w:val="22"/>
              </w:rPr>
            </w:pPr>
            <w:r w:rsidRPr="00EB32D6">
              <w:rPr>
                <w:rFonts w:ascii="Times New Roman" w:eastAsia="SimSun" w:hAnsi="Times New Roman" w:cs="Times New Roman"/>
                <w:sz w:val="22"/>
                <w:szCs w:val="22"/>
              </w:rPr>
              <w:t>&lt; 0.001</w:t>
            </w:r>
          </w:p>
        </w:tc>
      </w:tr>
      <w:tr w:rsidR="00C743AC" w:rsidRPr="00EB32D6" w14:paraId="2AFF8903" w14:textId="77777777">
        <w:trPr>
          <w:jc w:val="center"/>
        </w:trPr>
        <w:tc>
          <w:tcPr>
            <w:tcW w:w="2136" w:type="dxa"/>
            <w:tcBorders>
              <w:top w:val="nil"/>
              <w:left w:val="nil"/>
              <w:bottom w:val="single" w:sz="12" w:space="0" w:color="auto"/>
              <w:right w:val="nil"/>
            </w:tcBorders>
            <w:tcMar>
              <w:top w:w="-1" w:type="dxa"/>
              <w:left w:w="-1" w:type="dxa"/>
              <w:bottom w:w="-1" w:type="dxa"/>
              <w:right w:w="-1" w:type="dxa"/>
            </w:tcMar>
            <w:vAlign w:val="center"/>
          </w:tcPr>
          <w:p w14:paraId="702E193A" w14:textId="77777777" w:rsidR="00C743AC" w:rsidRPr="00EB32D6" w:rsidRDefault="00000000">
            <w:pPr>
              <w:widowControl/>
              <w:snapToGrid w:val="0"/>
              <w:jc w:val="center"/>
              <w:rPr>
                <w:rFonts w:ascii="Times New Roman" w:eastAsia="SimSun" w:hAnsi="Times New Roman" w:cs="Times New Roman"/>
                <w:color w:val="000000"/>
                <w:sz w:val="22"/>
                <w:szCs w:val="22"/>
              </w:rPr>
            </w:pPr>
            <w:r w:rsidRPr="00EB32D6">
              <w:rPr>
                <w:rFonts w:ascii="Times New Roman" w:eastAsia="SimSun" w:hAnsi="Times New Roman" w:cs="Times New Roman"/>
                <w:sz w:val="22"/>
                <w:szCs w:val="22"/>
              </w:rPr>
              <w:t>Professional Creativity</w:t>
            </w:r>
          </w:p>
        </w:tc>
        <w:tc>
          <w:tcPr>
            <w:tcW w:w="2585" w:type="dxa"/>
            <w:tcBorders>
              <w:top w:val="nil"/>
              <w:left w:val="nil"/>
              <w:bottom w:val="single" w:sz="12" w:space="0" w:color="auto"/>
              <w:right w:val="nil"/>
            </w:tcBorders>
            <w:tcMar>
              <w:top w:w="-1" w:type="dxa"/>
              <w:left w:w="-1" w:type="dxa"/>
              <w:bottom w:w="-1" w:type="dxa"/>
              <w:right w:w="-1" w:type="dxa"/>
            </w:tcMar>
            <w:vAlign w:val="center"/>
          </w:tcPr>
          <w:p w14:paraId="338ABF75" w14:textId="77777777" w:rsidR="00C743AC" w:rsidRPr="00EB32D6" w:rsidRDefault="00000000">
            <w:pPr>
              <w:widowControl/>
              <w:snapToGrid w:val="0"/>
              <w:jc w:val="center"/>
              <w:rPr>
                <w:rFonts w:ascii="Times New Roman" w:eastAsia="SimSun" w:hAnsi="Times New Roman" w:cs="Times New Roman"/>
                <w:color w:val="000000"/>
                <w:sz w:val="22"/>
                <w:szCs w:val="22"/>
              </w:rPr>
            </w:pPr>
            <w:r w:rsidRPr="00EB32D6">
              <w:rPr>
                <w:rFonts w:ascii="Times New Roman" w:eastAsia="SimSun" w:hAnsi="Times New Roman" w:cs="Times New Roman"/>
                <w:sz w:val="22"/>
                <w:szCs w:val="22"/>
              </w:rPr>
              <w:t>3.82 ± 0.48</w:t>
            </w:r>
          </w:p>
        </w:tc>
        <w:tc>
          <w:tcPr>
            <w:tcW w:w="1985" w:type="dxa"/>
            <w:tcBorders>
              <w:top w:val="nil"/>
              <w:left w:val="nil"/>
              <w:bottom w:val="single" w:sz="12" w:space="0" w:color="auto"/>
              <w:right w:val="nil"/>
            </w:tcBorders>
            <w:tcMar>
              <w:top w:w="-1" w:type="dxa"/>
              <w:left w:w="-1" w:type="dxa"/>
              <w:bottom w:w="-1" w:type="dxa"/>
              <w:right w:w="-1" w:type="dxa"/>
            </w:tcMar>
            <w:vAlign w:val="center"/>
          </w:tcPr>
          <w:p w14:paraId="6CDFA8DE" w14:textId="77777777" w:rsidR="00C743AC" w:rsidRPr="00EB32D6" w:rsidRDefault="00000000">
            <w:pPr>
              <w:widowControl/>
              <w:snapToGrid w:val="0"/>
              <w:jc w:val="center"/>
              <w:rPr>
                <w:rFonts w:ascii="Times New Roman" w:eastAsia="SimSun" w:hAnsi="Times New Roman" w:cs="Times New Roman"/>
                <w:color w:val="000000"/>
                <w:sz w:val="22"/>
                <w:szCs w:val="22"/>
              </w:rPr>
            </w:pPr>
            <w:r w:rsidRPr="00EB32D6">
              <w:rPr>
                <w:rFonts w:ascii="Times New Roman" w:eastAsia="SimSun" w:hAnsi="Times New Roman" w:cs="Times New Roman"/>
                <w:sz w:val="22"/>
                <w:szCs w:val="22"/>
              </w:rPr>
              <w:t>3.15 ± 0.55</w:t>
            </w:r>
          </w:p>
        </w:tc>
        <w:tc>
          <w:tcPr>
            <w:tcW w:w="1063" w:type="dxa"/>
            <w:tcBorders>
              <w:top w:val="nil"/>
              <w:left w:val="nil"/>
              <w:bottom w:val="single" w:sz="12" w:space="0" w:color="auto"/>
              <w:right w:val="nil"/>
            </w:tcBorders>
            <w:tcMar>
              <w:top w:w="-1" w:type="dxa"/>
              <w:left w:w="-1" w:type="dxa"/>
              <w:bottom w:w="-1" w:type="dxa"/>
              <w:right w:w="-1" w:type="dxa"/>
            </w:tcMar>
            <w:vAlign w:val="center"/>
          </w:tcPr>
          <w:p w14:paraId="5B5E43C8" w14:textId="77777777" w:rsidR="00C743AC" w:rsidRPr="00EB32D6" w:rsidRDefault="00000000">
            <w:pPr>
              <w:widowControl/>
              <w:snapToGrid w:val="0"/>
              <w:jc w:val="center"/>
              <w:rPr>
                <w:rFonts w:ascii="Times New Roman" w:eastAsia="SimSun" w:hAnsi="Times New Roman" w:cs="Times New Roman"/>
                <w:color w:val="000000"/>
                <w:sz w:val="22"/>
                <w:szCs w:val="22"/>
              </w:rPr>
            </w:pPr>
            <w:r w:rsidRPr="00EB32D6">
              <w:rPr>
                <w:rFonts w:ascii="Times New Roman" w:eastAsia="SimSun" w:hAnsi="Times New Roman" w:cs="Times New Roman"/>
                <w:sz w:val="22"/>
                <w:szCs w:val="22"/>
              </w:rPr>
              <w:t>6.58</w:t>
            </w:r>
          </w:p>
        </w:tc>
        <w:tc>
          <w:tcPr>
            <w:tcW w:w="1182" w:type="dxa"/>
            <w:tcBorders>
              <w:top w:val="nil"/>
              <w:left w:val="nil"/>
              <w:bottom w:val="single" w:sz="12" w:space="0" w:color="auto"/>
              <w:right w:val="nil"/>
            </w:tcBorders>
            <w:tcMar>
              <w:top w:w="-1" w:type="dxa"/>
              <w:left w:w="-1" w:type="dxa"/>
              <w:bottom w:w="-1" w:type="dxa"/>
              <w:right w:w="-1" w:type="dxa"/>
            </w:tcMar>
            <w:vAlign w:val="center"/>
          </w:tcPr>
          <w:p w14:paraId="4A5B48AA" w14:textId="77777777" w:rsidR="00C743AC" w:rsidRPr="00EB32D6" w:rsidRDefault="00000000">
            <w:pPr>
              <w:widowControl/>
              <w:snapToGrid w:val="0"/>
              <w:jc w:val="center"/>
              <w:rPr>
                <w:rFonts w:ascii="Times New Roman" w:eastAsia="SimSun" w:hAnsi="Times New Roman" w:cs="Times New Roman"/>
                <w:color w:val="000000"/>
                <w:sz w:val="22"/>
                <w:szCs w:val="22"/>
              </w:rPr>
            </w:pPr>
            <w:r w:rsidRPr="00EB32D6">
              <w:rPr>
                <w:rFonts w:ascii="Times New Roman" w:eastAsia="SimSun" w:hAnsi="Times New Roman" w:cs="Times New Roman"/>
                <w:sz w:val="22"/>
                <w:szCs w:val="22"/>
              </w:rPr>
              <w:t>&lt; 0.001</w:t>
            </w:r>
          </w:p>
        </w:tc>
      </w:tr>
    </w:tbl>
    <w:p w14:paraId="2837F71B" w14:textId="77777777" w:rsidR="00C743AC" w:rsidRPr="00EB32D6" w:rsidRDefault="00000000">
      <w:pPr>
        <w:spacing w:line="180" w:lineRule="atLeast"/>
        <w:jc w:val="center"/>
        <w:rPr>
          <w:rFonts w:ascii="Times New Roman" w:eastAsia="SimSun" w:hAnsi="Times New Roman" w:cs="Times New Roman"/>
          <w:color w:val="000000"/>
          <w:sz w:val="22"/>
          <w:szCs w:val="22"/>
          <w:lang w:bidi="ar"/>
        </w:rPr>
      </w:pPr>
      <w:r w:rsidRPr="00EB32D6">
        <w:rPr>
          <w:rFonts w:ascii="Times New Roman" w:eastAsia="SimSun" w:hAnsi="Times New Roman" w:cs="Times New Roman"/>
          <w:color w:val="000000"/>
          <w:sz w:val="22"/>
          <w:szCs w:val="22"/>
          <w:lang w:bidi="ar"/>
        </w:rPr>
        <w:t>Table 1 Comparison of Post-test Scores Between Experimental and Control Groups (M±SD)</w:t>
      </w:r>
    </w:p>
    <w:p w14:paraId="060F976F" w14:textId="77777777" w:rsidR="00C743AC" w:rsidRPr="00EB32D6" w:rsidRDefault="00000000">
      <w:pPr>
        <w:jc w:val="both"/>
        <w:rPr>
          <w:rFonts w:ascii="Times New Roman" w:eastAsia="SimSun" w:hAnsi="Times New Roman" w:cs="Times New Roman"/>
          <w:sz w:val="22"/>
          <w:szCs w:val="22"/>
          <w:lang w:bidi="ar-SA"/>
        </w:rPr>
      </w:pPr>
      <w:r w:rsidRPr="00EB32D6">
        <w:rPr>
          <w:rFonts w:ascii="Times New Roman" w:eastAsia="SimSun" w:hAnsi="Times New Roman" w:cs="Times New Roman"/>
          <w:sz w:val="22"/>
          <w:szCs w:val="22"/>
          <w:lang w:bidi="ar-SA"/>
        </w:rPr>
        <w:t>Qualitative Results (The Missing Piece Practical Training)</w:t>
      </w:r>
    </w:p>
    <w:p w14:paraId="1F3141E3" w14:textId="77777777" w:rsidR="00C743AC" w:rsidRPr="00EB32D6" w:rsidRDefault="00000000">
      <w:pPr>
        <w:jc w:val="both"/>
        <w:rPr>
          <w:rFonts w:ascii="Times New Roman" w:eastAsia="SimSun" w:hAnsi="Times New Roman" w:cs="Times New Roman"/>
          <w:sz w:val="22"/>
          <w:szCs w:val="22"/>
          <w:lang w:bidi="ar-SA"/>
        </w:rPr>
      </w:pPr>
      <w:r w:rsidRPr="00EB32D6">
        <w:rPr>
          <w:rFonts w:ascii="Times New Roman" w:eastAsia="SimSun" w:hAnsi="Times New Roman" w:cs="Times New Roman"/>
          <w:sz w:val="22"/>
          <w:szCs w:val="22"/>
          <w:lang w:bidi="ar-SA"/>
        </w:rPr>
        <w:t>78.3% of students integrated "imperfect elements" into creative works (posters, illustrations, storyboards). Four typical storyboard sets interpreted "imperfect growth" from perspectives of choice, mutual reflection, persistence, and the cost of perfection. Quality distribution showed 29.8% excellent, 48.5% good, 18.6% qualified, and 3.1% unqualified works (Figure 5). Teacher evaluation averaged 7.9/10, with 71.2% of students highly recognizing the training (Table 2).</w:t>
      </w:r>
    </w:p>
    <w:p w14:paraId="3FB95CA9" w14:textId="77777777" w:rsidR="00C743AC" w:rsidRPr="00EB32D6" w:rsidRDefault="00000000">
      <w:pPr>
        <w:spacing w:line="180" w:lineRule="atLeast"/>
        <w:jc w:val="center"/>
        <w:rPr>
          <w:rFonts w:ascii="Times New Roman" w:eastAsia="SimSun" w:hAnsi="Times New Roman" w:cs="Times New Roman"/>
          <w:sz w:val="22"/>
          <w:szCs w:val="22"/>
        </w:rPr>
      </w:pPr>
      <w:r w:rsidRPr="00EB32D6">
        <w:rPr>
          <w:rFonts w:ascii="Times New Roman" w:eastAsia="SimSun" w:hAnsi="Times New Roman" w:cs="Times New Roman"/>
          <w:noProof/>
          <w:sz w:val="22"/>
          <w:szCs w:val="22"/>
        </w:rPr>
        <w:lastRenderedPageBreak/>
        <w:drawing>
          <wp:inline distT="0" distB="0" distL="114300" distR="114300" wp14:anchorId="61A0A1AE" wp14:editId="6A676F71">
            <wp:extent cx="4214495" cy="1546860"/>
            <wp:effectExtent l="0" t="0" r="5080" b="5715"/>
            <wp:docPr id="28" name="图片 1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5" descr="IMG_256"/>
                    <pic:cNvPicPr>
                      <a:picLocks noChangeAspect="1"/>
                    </pic:cNvPicPr>
                  </pic:nvPicPr>
                  <pic:blipFill>
                    <a:blip r:embed="rId8"/>
                    <a:stretch>
                      <a:fillRect/>
                    </a:stretch>
                  </pic:blipFill>
                  <pic:spPr>
                    <a:xfrm>
                      <a:off x="0" y="0"/>
                      <a:ext cx="4214495" cy="1546860"/>
                    </a:xfrm>
                    <a:prstGeom prst="rect">
                      <a:avLst/>
                    </a:prstGeom>
                    <a:noFill/>
                    <a:ln w="9525">
                      <a:noFill/>
                    </a:ln>
                  </pic:spPr>
                </pic:pic>
              </a:graphicData>
            </a:graphic>
          </wp:inline>
        </w:drawing>
      </w:r>
    </w:p>
    <w:p w14:paraId="452485E7" w14:textId="77777777" w:rsidR="00C743AC" w:rsidRPr="00EB32D6" w:rsidRDefault="00000000">
      <w:pPr>
        <w:spacing w:line="180" w:lineRule="atLeast"/>
        <w:jc w:val="center"/>
        <w:rPr>
          <w:rFonts w:ascii="Times New Roman" w:eastAsia="SimSun" w:hAnsi="Times New Roman" w:cs="Times New Roman"/>
          <w:color w:val="000000"/>
          <w:sz w:val="22"/>
          <w:szCs w:val="22"/>
          <w:lang w:bidi="ar"/>
        </w:rPr>
      </w:pPr>
      <w:r w:rsidRPr="00EB32D6">
        <w:rPr>
          <w:rFonts w:ascii="Times New Roman" w:eastAsia="SimSun" w:hAnsi="Times New Roman" w:cs="Times New Roman"/>
          <w:color w:val="000000"/>
          <w:sz w:val="22"/>
          <w:szCs w:val="22"/>
          <w:lang w:bidi="ar"/>
        </w:rPr>
        <w:t>Figure 5 Quality Distribution of Students' Creative Works</w:t>
      </w:r>
    </w:p>
    <w:p w14:paraId="2531C5D6" w14:textId="77777777" w:rsidR="00C743AC" w:rsidRPr="00EB32D6" w:rsidRDefault="00000000">
      <w:pPr>
        <w:jc w:val="both"/>
        <w:rPr>
          <w:rFonts w:ascii="Times New Roman" w:eastAsia="SimSun" w:hAnsi="Times New Roman" w:cs="Times New Roman"/>
          <w:color w:val="000000"/>
          <w:sz w:val="22"/>
          <w:szCs w:val="22"/>
          <w:lang w:bidi="ar"/>
        </w:rPr>
      </w:pPr>
      <w:r w:rsidRPr="00EB32D6">
        <w:rPr>
          <w:rFonts w:ascii="Times New Roman" w:eastAsia="SimSun" w:hAnsi="Times New Roman" w:cs="Times New Roman"/>
          <w:sz w:val="22"/>
          <w:szCs w:val="22"/>
          <w:lang w:bidi="ar-SA"/>
        </w:rPr>
        <w:t>Figure 5 note: This combined column chart shows the number and proportion of works at different quality levels.</w:t>
      </w:r>
    </w:p>
    <w:p w14:paraId="017F7132" w14:textId="77777777" w:rsidR="00C743AC" w:rsidRPr="00EB32D6" w:rsidRDefault="00C743AC">
      <w:pPr>
        <w:spacing w:line="180" w:lineRule="atLeast"/>
        <w:rPr>
          <w:rFonts w:ascii="Times New Roman" w:eastAsia="SimSun" w:hAnsi="Times New Roman" w:cs="Times New Roman"/>
          <w:color w:val="000000"/>
          <w:sz w:val="22"/>
          <w:szCs w:val="22"/>
          <w:lang w:bidi="ar"/>
        </w:rPr>
      </w:pPr>
    </w:p>
    <w:tbl>
      <w:tblPr>
        <w:tblStyle w:val="a5"/>
        <w:tblW w:w="8519" w:type="dxa"/>
        <w:jc w:val="center"/>
        <w:tblBorders>
          <w:top w:val="none" w:sz="4" w:space="0" w:color="auto"/>
          <w:left w:val="none" w:sz="4" w:space="0" w:color="auto"/>
          <w:bottom w:val="none" w:sz="4" w:space="0" w:color="auto"/>
          <w:right w:val="none" w:sz="4" w:space="0" w:color="auto"/>
          <w:insideH w:val="none" w:sz="4" w:space="0" w:color="auto"/>
          <w:insideV w:val="none" w:sz="4" w:space="0" w:color="auto"/>
        </w:tblBorders>
        <w:tblLook w:val="04A0" w:firstRow="1" w:lastRow="0" w:firstColumn="1" w:lastColumn="0" w:noHBand="0" w:noVBand="1"/>
      </w:tblPr>
      <w:tblGrid>
        <w:gridCol w:w="3382"/>
        <w:gridCol w:w="1284"/>
        <w:gridCol w:w="1547"/>
        <w:gridCol w:w="1153"/>
        <w:gridCol w:w="1153"/>
      </w:tblGrid>
      <w:tr w:rsidR="00C743AC" w:rsidRPr="00EB32D6" w14:paraId="01D84273" w14:textId="77777777">
        <w:trPr>
          <w:tblHeader/>
          <w:jc w:val="center"/>
        </w:trPr>
        <w:tc>
          <w:tcPr>
            <w:tcW w:w="0" w:type="auto"/>
            <w:tcBorders>
              <w:top w:val="single" w:sz="12" w:space="0" w:color="auto"/>
              <w:left w:val="nil"/>
              <w:bottom w:val="nil"/>
              <w:right w:val="nil"/>
            </w:tcBorders>
            <w:tcMar>
              <w:top w:w="-1" w:type="dxa"/>
              <w:left w:w="-1" w:type="dxa"/>
              <w:bottom w:w="-1" w:type="dxa"/>
              <w:right w:w="-1" w:type="dxa"/>
            </w:tcMar>
          </w:tcPr>
          <w:p w14:paraId="11264576" w14:textId="77777777" w:rsidR="00C743AC" w:rsidRPr="00EB32D6" w:rsidRDefault="00000000">
            <w:pPr>
              <w:widowControl/>
              <w:snapToGrid w:val="0"/>
              <w:rPr>
                <w:rFonts w:ascii="Times New Roman" w:eastAsia="SimSun" w:hAnsi="Times New Roman" w:cs="Times New Roman"/>
                <w:color w:val="000000"/>
                <w:sz w:val="22"/>
                <w:szCs w:val="22"/>
              </w:rPr>
            </w:pPr>
            <w:r w:rsidRPr="00EB32D6">
              <w:rPr>
                <w:rFonts w:ascii="Times New Roman" w:eastAsia="SimSun" w:hAnsi="Times New Roman" w:cs="Times New Roman"/>
                <w:sz w:val="22"/>
                <w:szCs w:val="22"/>
              </w:rPr>
              <w:t>Aspect</w:t>
            </w:r>
          </w:p>
        </w:tc>
        <w:tc>
          <w:tcPr>
            <w:tcW w:w="0" w:type="auto"/>
            <w:tcBorders>
              <w:top w:val="single" w:sz="12" w:space="0" w:color="auto"/>
              <w:left w:val="nil"/>
              <w:bottom w:val="nil"/>
              <w:right w:val="nil"/>
            </w:tcBorders>
            <w:tcMar>
              <w:top w:w="-1" w:type="dxa"/>
              <w:left w:w="-1" w:type="dxa"/>
              <w:bottom w:w="-1" w:type="dxa"/>
              <w:right w:w="-1" w:type="dxa"/>
            </w:tcMar>
          </w:tcPr>
          <w:p w14:paraId="04437F7D" w14:textId="77777777" w:rsidR="00C743AC" w:rsidRPr="00EB32D6" w:rsidRDefault="00000000">
            <w:pPr>
              <w:widowControl/>
              <w:snapToGrid w:val="0"/>
              <w:rPr>
                <w:rFonts w:ascii="Times New Roman" w:eastAsia="SimSun" w:hAnsi="Times New Roman" w:cs="Times New Roman"/>
                <w:color w:val="000000"/>
                <w:sz w:val="22"/>
                <w:szCs w:val="22"/>
              </w:rPr>
            </w:pPr>
            <w:r w:rsidRPr="00EB32D6">
              <w:rPr>
                <w:rFonts w:ascii="Times New Roman" w:eastAsia="SimSun" w:hAnsi="Times New Roman" w:cs="Times New Roman"/>
                <w:sz w:val="22"/>
                <w:szCs w:val="22"/>
              </w:rPr>
              <w:t>Freshmen</w:t>
            </w:r>
          </w:p>
        </w:tc>
        <w:tc>
          <w:tcPr>
            <w:tcW w:w="0" w:type="auto"/>
            <w:tcBorders>
              <w:top w:val="single" w:sz="12" w:space="0" w:color="auto"/>
              <w:left w:val="nil"/>
              <w:bottom w:val="nil"/>
              <w:right w:val="nil"/>
            </w:tcBorders>
            <w:tcMar>
              <w:top w:w="-1" w:type="dxa"/>
              <w:left w:w="-1" w:type="dxa"/>
              <w:bottom w:w="-1" w:type="dxa"/>
              <w:right w:w="-1" w:type="dxa"/>
            </w:tcMar>
          </w:tcPr>
          <w:p w14:paraId="2C7E7F31" w14:textId="77777777" w:rsidR="00C743AC" w:rsidRPr="00EB32D6" w:rsidRDefault="00000000">
            <w:pPr>
              <w:widowControl/>
              <w:snapToGrid w:val="0"/>
              <w:rPr>
                <w:rFonts w:ascii="Times New Roman" w:eastAsia="SimSun" w:hAnsi="Times New Roman" w:cs="Times New Roman"/>
                <w:color w:val="000000"/>
                <w:sz w:val="22"/>
                <w:szCs w:val="22"/>
              </w:rPr>
            </w:pPr>
            <w:r w:rsidRPr="00EB32D6">
              <w:rPr>
                <w:rFonts w:ascii="Times New Roman" w:eastAsia="SimSun" w:hAnsi="Times New Roman" w:cs="Times New Roman"/>
                <w:sz w:val="22"/>
                <w:szCs w:val="22"/>
              </w:rPr>
              <w:t>Sophomores</w:t>
            </w:r>
          </w:p>
        </w:tc>
        <w:tc>
          <w:tcPr>
            <w:tcW w:w="0" w:type="auto"/>
            <w:tcBorders>
              <w:top w:val="single" w:sz="12" w:space="0" w:color="auto"/>
              <w:left w:val="nil"/>
              <w:bottom w:val="nil"/>
              <w:right w:val="nil"/>
            </w:tcBorders>
            <w:tcMar>
              <w:top w:w="-1" w:type="dxa"/>
              <w:left w:w="-1" w:type="dxa"/>
              <w:bottom w:w="-1" w:type="dxa"/>
              <w:right w:w="-1" w:type="dxa"/>
            </w:tcMar>
          </w:tcPr>
          <w:p w14:paraId="0BE25368" w14:textId="77777777" w:rsidR="00C743AC" w:rsidRPr="00EB32D6" w:rsidRDefault="00000000">
            <w:pPr>
              <w:widowControl/>
              <w:snapToGrid w:val="0"/>
              <w:rPr>
                <w:rFonts w:ascii="Times New Roman" w:eastAsia="SimSun" w:hAnsi="Times New Roman" w:cs="Times New Roman"/>
                <w:color w:val="000000"/>
                <w:sz w:val="22"/>
                <w:szCs w:val="22"/>
              </w:rPr>
            </w:pPr>
            <w:r w:rsidRPr="00EB32D6">
              <w:rPr>
                <w:rFonts w:ascii="Times New Roman" w:eastAsia="SimSun" w:hAnsi="Times New Roman" w:cs="Times New Roman"/>
                <w:sz w:val="22"/>
                <w:szCs w:val="22"/>
              </w:rPr>
              <w:t>Juniors</w:t>
            </w:r>
          </w:p>
        </w:tc>
        <w:tc>
          <w:tcPr>
            <w:tcW w:w="1153" w:type="dxa"/>
            <w:tcBorders>
              <w:top w:val="single" w:sz="12" w:space="0" w:color="auto"/>
              <w:left w:val="nil"/>
              <w:bottom w:val="nil"/>
              <w:right w:val="nil"/>
            </w:tcBorders>
            <w:tcMar>
              <w:top w:w="-1" w:type="dxa"/>
              <w:left w:w="-1" w:type="dxa"/>
              <w:bottom w:w="-1" w:type="dxa"/>
              <w:right w:w="-1" w:type="dxa"/>
            </w:tcMar>
          </w:tcPr>
          <w:p w14:paraId="04A67B63" w14:textId="77777777" w:rsidR="00C743AC" w:rsidRPr="00EB32D6" w:rsidRDefault="00000000">
            <w:pPr>
              <w:widowControl/>
              <w:snapToGrid w:val="0"/>
              <w:rPr>
                <w:rFonts w:ascii="Times New Roman" w:eastAsia="SimSun" w:hAnsi="Times New Roman" w:cs="Times New Roman"/>
                <w:color w:val="000000"/>
                <w:sz w:val="22"/>
                <w:szCs w:val="22"/>
              </w:rPr>
            </w:pPr>
            <w:r w:rsidRPr="00EB32D6">
              <w:rPr>
                <w:rFonts w:ascii="Times New Roman" w:eastAsia="SimSun" w:hAnsi="Times New Roman" w:cs="Times New Roman"/>
                <w:sz w:val="22"/>
                <w:szCs w:val="22"/>
              </w:rPr>
              <w:t>Overall</w:t>
            </w:r>
          </w:p>
        </w:tc>
      </w:tr>
      <w:tr w:rsidR="00C743AC" w:rsidRPr="00EB32D6" w14:paraId="48B1960C" w14:textId="77777777">
        <w:trPr>
          <w:tblHeader/>
          <w:jc w:val="center"/>
        </w:trPr>
        <w:tc>
          <w:tcPr>
            <w:tcW w:w="0" w:type="auto"/>
            <w:tcBorders>
              <w:top w:val="single" w:sz="4" w:space="0" w:color="auto"/>
              <w:left w:val="nil"/>
              <w:bottom w:val="nil"/>
              <w:right w:val="nil"/>
            </w:tcBorders>
            <w:tcMar>
              <w:top w:w="-1" w:type="dxa"/>
              <w:left w:w="-1" w:type="dxa"/>
              <w:bottom w:w="-1" w:type="dxa"/>
              <w:right w:w="-1" w:type="dxa"/>
            </w:tcMar>
          </w:tcPr>
          <w:p w14:paraId="6079D775" w14:textId="77777777" w:rsidR="00C743AC" w:rsidRPr="00EB32D6" w:rsidRDefault="00000000">
            <w:pPr>
              <w:widowControl/>
              <w:snapToGrid w:val="0"/>
              <w:rPr>
                <w:rFonts w:ascii="Times New Roman" w:eastAsia="SimSun" w:hAnsi="Times New Roman" w:cs="Times New Roman"/>
                <w:color w:val="000000"/>
                <w:sz w:val="22"/>
                <w:szCs w:val="22"/>
              </w:rPr>
            </w:pPr>
            <w:r w:rsidRPr="00EB32D6">
              <w:rPr>
                <w:rFonts w:ascii="Times New Roman" w:eastAsia="SimSun" w:hAnsi="Times New Roman" w:cs="Times New Roman"/>
                <w:sz w:val="22"/>
                <w:szCs w:val="22"/>
              </w:rPr>
              <w:t>Highly Recognized (%)</w:t>
            </w:r>
          </w:p>
        </w:tc>
        <w:tc>
          <w:tcPr>
            <w:tcW w:w="0" w:type="auto"/>
            <w:tcBorders>
              <w:top w:val="single" w:sz="4" w:space="0" w:color="auto"/>
              <w:left w:val="nil"/>
              <w:bottom w:val="nil"/>
              <w:right w:val="nil"/>
            </w:tcBorders>
            <w:tcMar>
              <w:top w:w="-1" w:type="dxa"/>
              <w:left w:w="-1" w:type="dxa"/>
              <w:bottom w:w="-1" w:type="dxa"/>
              <w:right w:w="-1" w:type="dxa"/>
            </w:tcMar>
          </w:tcPr>
          <w:p w14:paraId="3D4B8301" w14:textId="77777777" w:rsidR="00C743AC" w:rsidRPr="00EB32D6" w:rsidRDefault="00000000">
            <w:pPr>
              <w:widowControl/>
              <w:snapToGrid w:val="0"/>
              <w:rPr>
                <w:rFonts w:ascii="Times New Roman" w:eastAsia="SimSun" w:hAnsi="Times New Roman" w:cs="Times New Roman"/>
                <w:color w:val="000000"/>
                <w:sz w:val="22"/>
                <w:szCs w:val="22"/>
              </w:rPr>
            </w:pPr>
            <w:r w:rsidRPr="00EB32D6">
              <w:rPr>
                <w:rFonts w:ascii="Times New Roman" w:eastAsia="SimSun" w:hAnsi="Times New Roman" w:cs="Times New Roman"/>
                <w:sz w:val="22"/>
                <w:szCs w:val="22"/>
              </w:rPr>
              <w:t>62.2</w:t>
            </w:r>
          </w:p>
        </w:tc>
        <w:tc>
          <w:tcPr>
            <w:tcW w:w="0" w:type="auto"/>
            <w:tcBorders>
              <w:top w:val="single" w:sz="4" w:space="0" w:color="auto"/>
              <w:left w:val="nil"/>
              <w:bottom w:val="nil"/>
              <w:right w:val="nil"/>
            </w:tcBorders>
            <w:tcMar>
              <w:top w:w="-1" w:type="dxa"/>
              <w:left w:w="-1" w:type="dxa"/>
              <w:bottom w:w="-1" w:type="dxa"/>
              <w:right w:w="-1" w:type="dxa"/>
            </w:tcMar>
          </w:tcPr>
          <w:p w14:paraId="14ED87D8" w14:textId="77777777" w:rsidR="00C743AC" w:rsidRPr="00EB32D6" w:rsidRDefault="00000000">
            <w:pPr>
              <w:widowControl/>
              <w:snapToGrid w:val="0"/>
              <w:rPr>
                <w:rFonts w:ascii="Times New Roman" w:eastAsia="SimSun" w:hAnsi="Times New Roman" w:cs="Times New Roman"/>
                <w:color w:val="000000"/>
                <w:sz w:val="22"/>
                <w:szCs w:val="22"/>
              </w:rPr>
            </w:pPr>
            <w:r w:rsidRPr="00EB32D6">
              <w:rPr>
                <w:rFonts w:ascii="Times New Roman" w:eastAsia="SimSun" w:hAnsi="Times New Roman" w:cs="Times New Roman"/>
                <w:sz w:val="22"/>
                <w:szCs w:val="22"/>
              </w:rPr>
              <w:t>78.6</w:t>
            </w:r>
          </w:p>
        </w:tc>
        <w:tc>
          <w:tcPr>
            <w:tcW w:w="0" w:type="auto"/>
            <w:tcBorders>
              <w:top w:val="single" w:sz="4" w:space="0" w:color="auto"/>
              <w:left w:val="nil"/>
              <w:bottom w:val="nil"/>
              <w:right w:val="nil"/>
            </w:tcBorders>
            <w:tcMar>
              <w:top w:w="-1" w:type="dxa"/>
              <w:left w:w="-1" w:type="dxa"/>
              <w:bottom w:w="-1" w:type="dxa"/>
              <w:right w:w="-1" w:type="dxa"/>
            </w:tcMar>
          </w:tcPr>
          <w:p w14:paraId="77813212" w14:textId="77777777" w:rsidR="00C743AC" w:rsidRPr="00EB32D6" w:rsidRDefault="00000000">
            <w:pPr>
              <w:widowControl/>
              <w:snapToGrid w:val="0"/>
              <w:rPr>
                <w:rFonts w:ascii="Times New Roman" w:eastAsia="SimSun" w:hAnsi="Times New Roman" w:cs="Times New Roman"/>
                <w:color w:val="000000"/>
                <w:sz w:val="22"/>
                <w:szCs w:val="22"/>
              </w:rPr>
            </w:pPr>
            <w:r w:rsidRPr="00EB32D6">
              <w:rPr>
                <w:rFonts w:ascii="Times New Roman" w:eastAsia="SimSun" w:hAnsi="Times New Roman" w:cs="Times New Roman"/>
                <w:sz w:val="22"/>
                <w:szCs w:val="22"/>
              </w:rPr>
              <w:t>72.8</w:t>
            </w:r>
          </w:p>
        </w:tc>
        <w:tc>
          <w:tcPr>
            <w:tcW w:w="1153" w:type="dxa"/>
            <w:tcBorders>
              <w:top w:val="single" w:sz="4" w:space="0" w:color="auto"/>
              <w:left w:val="nil"/>
              <w:bottom w:val="nil"/>
              <w:right w:val="nil"/>
            </w:tcBorders>
            <w:tcMar>
              <w:top w:w="-1" w:type="dxa"/>
              <w:left w:w="-1" w:type="dxa"/>
              <w:bottom w:w="-1" w:type="dxa"/>
              <w:right w:w="-1" w:type="dxa"/>
            </w:tcMar>
          </w:tcPr>
          <w:p w14:paraId="326ADD1E" w14:textId="77777777" w:rsidR="00C743AC" w:rsidRPr="00EB32D6" w:rsidRDefault="00000000">
            <w:pPr>
              <w:widowControl/>
              <w:snapToGrid w:val="0"/>
              <w:rPr>
                <w:rFonts w:ascii="Times New Roman" w:eastAsia="SimSun" w:hAnsi="Times New Roman" w:cs="Times New Roman"/>
                <w:color w:val="000000"/>
                <w:sz w:val="22"/>
                <w:szCs w:val="22"/>
              </w:rPr>
            </w:pPr>
            <w:r w:rsidRPr="00EB32D6">
              <w:rPr>
                <w:rFonts w:ascii="Times New Roman" w:eastAsia="SimSun" w:hAnsi="Times New Roman" w:cs="Times New Roman"/>
                <w:sz w:val="22"/>
                <w:szCs w:val="22"/>
              </w:rPr>
              <w:t>71.2</w:t>
            </w:r>
          </w:p>
        </w:tc>
      </w:tr>
      <w:tr w:rsidR="00C743AC" w:rsidRPr="00EB32D6" w14:paraId="3B214B9C" w14:textId="77777777">
        <w:trPr>
          <w:tblHeader/>
          <w:jc w:val="center"/>
        </w:trPr>
        <w:tc>
          <w:tcPr>
            <w:tcW w:w="0" w:type="auto"/>
            <w:tcBorders>
              <w:top w:val="nil"/>
              <w:left w:val="nil"/>
              <w:bottom w:val="nil"/>
              <w:right w:val="nil"/>
            </w:tcBorders>
            <w:tcMar>
              <w:top w:w="-1" w:type="dxa"/>
              <w:left w:w="-1" w:type="dxa"/>
              <w:bottom w:w="-1" w:type="dxa"/>
              <w:right w:w="-1" w:type="dxa"/>
            </w:tcMar>
          </w:tcPr>
          <w:p w14:paraId="5FD63581" w14:textId="77777777" w:rsidR="00C743AC" w:rsidRPr="00EB32D6" w:rsidRDefault="00000000">
            <w:pPr>
              <w:widowControl/>
              <w:snapToGrid w:val="0"/>
              <w:rPr>
                <w:rFonts w:ascii="Times New Roman" w:eastAsia="SimSun" w:hAnsi="Times New Roman" w:cs="Times New Roman"/>
                <w:color w:val="000000"/>
                <w:sz w:val="22"/>
                <w:szCs w:val="22"/>
              </w:rPr>
            </w:pPr>
            <w:r w:rsidRPr="00EB32D6">
              <w:rPr>
                <w:rFonts w:ascii="Times New Roman" w:eastAsia="SimSun" w:hAnsi="Times New Roman" w:cs="Times New Roman"/>
                <w:sz w:val="22"/>
                <w:szCs w:val="22"/>
              </w:rPr>
              <w:t>Basically Recognized (%)</w:t>
            </w:r>
          </w:p>
        </w:tc>
        <w:tc>
          <w:tcPr>
            <w:tcW w:w="0" w:type="auto"/>
            <w:tcBorders>
              <w:top w:val="nil"/>
              <w:left w:val="nil"/>
              <w:bottom w:val="nil"/>
              <w:right w:val="nil"/>
            </w:tcBorders>
            <w:tcMar>
              <w:top w:w="-1" w:type="dxa"/>
              <w:left w:w="-1" w:type="dxa"/>
              <w:bottom w:w="-1" w:type="dxa"/>
              <w:right w:w="-1" w:type="dxa"/>
            </w:tcMar>
          </w:tcPr>
          <w:p w14:paraId="37CF8C53" w14:textId="77777777" w:rsidR="00C743AC" w:rsidRPr="00EB32D6" w:rsidRDefault="00000000">
            <w:pPr>
              <w:widowControl/>
              <w:snapToGrid w:val="0"/>
              <w:rPr>
                <w:rFonts w:ascii="Times New Roman" w:eastAsia="SimSun" w:hAnsi="Times New Roman" w:cs="Times New Roman"/>
                <w:color w:val="000000"/>
                <w:sz w:val="22"/>
                <w:szCs w:val="22"/>
              </w:rPr>
            </w:pPr>
            <w:r w:rsidRPr="00EB32D6">
              <w:rPr>
                <w:rFonts w:ascii="Times New Roman" w:eastAsia="SimSun" w:hAnsi="Times New Roman" w:cs="Times New Roman"/>
                <w:sz w:val="22"/>
                <w:szCs w:val="22"/>
              </w:rPr>
              <w:t>29.7</w:t>
            </w:r>
          </w:p>
        </w:tc>
        <w:tc>
          <w:tcPr>
            <w:tcW w:w="0" w:type="auto"/>
            <w:tcBorders>
              <w:top w:val="nil"/>
              <w:left w:val="nil"/>
              <w:bottom w:val="nil"/>
              <w:right w:val="nil"/>
            </w:tcBorders>
            <w:tcMar>
              <w:top w:w="-1" w:type="dxa"/>
              <w:left w:w="-1" w:type="dxa"/>
              <w:bottom w:w="-1" w:type="dxa"/>
              <w:right w:w="-1" w:type="dxa"/>
            </w:tcMar>
          </w:tcPr>
          <w:p w14:paraId="30472CA9" w14:textId="77777777" w:rsidR="00C743AC" w:rsidRPr="00EB32D6" w:rsidRDefault="00000000">
            <w:pPr>
              <w:widowControl/>
              <w:snapToGrid w:val="0"/>
              <w:rPr>
                <w:rFonts w:ascii="Times New Roman" w:eastAsia="SimSun" w:hAnsi="Times New Roman" w:cs="Times New Roman"/>
                <w:color w:val="000000"/>
                <w:sz w:val="22"/>
                <w:szCs w:val="22"/>
              </w:rPr>
            </w:pPr>
            <w:r w:rsidRPr="00EB32D6">
              <w:rPr>
                <w:rFonts w:ascii="Times New Roman" w:eastAsia="SimSun" w:hAnsi="Times New Roman" w:cs="Times New Roman"/>
                <w:sz w:val="22"/>
                <w:szCs w:val="22"/>
              </w:rPr>
              <w:t>18.6</w:t>
            </w:r>
          </w:p>
        </w:tc>
        <w:tc>
          <w:tcPr>
            <w:tcW w:w="0" w:type="auto"/>
            <w:tcBorders>
              <w:top w:val="nil"/>
              <w:left w:val="nil"/>
              <w:bottom w:val="nil"/>
              <w:right w:val="nil"/>
            </w:tcBorders>
            <w:tcMar>
              <w:top w:w="-1" w:type="dxa"/>
              <w:left w:w="-1" w:type="dxa"/>
              <w:bottom w:w="-1" w:type="dxa"/>
              <w:right w:w="-1" w:type="dxa"/>
            </w:tcMar>
          </w:tcPr>
          <w:p w14:paraId="35892770" w14:textId="77777777" w:rsidR="00C743AC" w:rsidRPr="00EB32D6" w:rsidRDefault="00000000">
            <w:pPr>
              <w:widowControl/>
              <w:snapToGrid w:val="0"/>
              <w:rPr>
                <w:rFonts w:ascii="Times New Roman" w:eastAsia="SimSun" w:hAnsi="Times New Roman" w:cs="Times New Roman"/>
                <w:color w:val="000000"/>
                <w:sz w:val="22"/>
                <w:szCs w:val="22"/>
              </w:rPr>
            </w:pPr>
            <w:r w:rsidRPr="00EB32D6">
              <w:rPr>
                <w:rFonts w:ascii="Times New Roman" w:eastAsia="SimSun" w:hAnsi="Times New Roman" w:cs="Times New Roman"/>
                <w:sz w:val="22"/>
                <w:szCs w:val="22"/>
              </w:rPr>
              <w:t>22.2</w:t>
            </w:r>
          </w:p>
        </w:tc>
        <w:tc>
          <w:tcPr>
            <w:tcW w:w="1153" w:type="dxa"/>
            <w:tcBorders>
              <w:top w:val="nil"/>
              <w:left w:val="nil"/>
              <w:bottom w:val="nil"/>
              <w:right w:val="nil"/>
            </w:tcBorders>
            <w:tcMar>
              <w:top w:w="-1" w:type="dxa"/>
              <w:left w:w="-1" w:type="dxa"/>
              <w:bottom w:w="-1" w:type="dxa"/>
              <w:right w:w="-1" w:type="dxa"/>
            </w:tcMar>
          </w:tcPr>
          <w:p w14:paraId="69BAB792" w14:textId="77777777" w:rsidR="00C743AC" w:rsidRPr="00EB32D6" w:rsidRDefault="00000000">
            <w:pPr>
              <w:widowControl/>
              <w:snapToGrid w:val="0"/>
              <w:rPr>
                <w:rFonts w:ascii="Times New Roman" w:eastAsia="SimSun" w:hAnsi="Times New Roman" w:cs="Times New Roman"/>
                <w:color w:val="000000"/>
                <w:sz w:val="22"/>
                <w:szCs w:val="22"/>
              </w:rPr>
            </w:pPr>
            <w:r w:rsidRPr="00EB32D6">
              <w:rPr>
                <w:rFonts w:ascii="Times New Roman" w:eastAsia="SimSun" w:hAnsi="Times New Roman" w:cs="Times New Roman"/>
                <w:sz w:val="22"/>
                <w:szCs w:val="22"/>
              </w:rPr>
              <w:t>23.4</w:t>
            </w:r>
          </w:p>
        </w:tc>
      </w:tr>
      <w:tr w:rsidR="00C743AC" w:rsidRPr="00EB32D6" w14:paraId="253EC803" w14:textId="77777777">
        <w:trPr>
          <w:tblHeader/>
          <w:jc w:val="center"/>
        </w:trPr>
        <w:tc>
          <w:tcPr>
            <w:tcW w:w="0" w:type="auto"/>
            <w:tcBorders>
              <w:top w:val="nil"/>
              <w:left w:val="nil"/>
              <w:bottom w:val="nil"/>
              <w:right w:val="nil"/>
            </w:tcBorders>
            <w:tcMar>
              <w:top w:w="-1" w:type="dxa"/>
              <w:left w:w="-1" w:type="dxa"/>
              <w:bottom w:w="-1" w:type="dxa"/>
              <w:right w:w="-1" w:type="dxa"/>
            </w:tcMar>
          </w:tcPr>
          <w:p w14:paraId="075E64E9" w14:textId="77777777" w:rsidR="00C743AC" w:rsidRPr="00EB32D6" w:rsidRDefault="00000000">
            <w:pPr>
              <w:widowControl/>
              <w:snapToGrid w:val="0"/>
              <w:rPr>
                <w:rFonts w:ascii="Times New Roman" w:eastAsia="SimSun" w:hAnsi="Times New Roman" w:cs="Times New Roman"/>
                <w:color w:val="000000"/>
                <w:sz w:val="22"/>
                <w:szCs w:val="22"/>
              </w:rPr>
            </w:pPr>
            <w:r w:rsidRPr="00EB32D6">
              <w:rPr>
                <w:rFonts w:ascii="Times New Roman" w:eastAsia="SimSun" w:hAnsi="Times New Roman" w:cs="Times New Roman"/>
                <w:sz w:val="22"/>
                <w:szCs w:val="22"/>
              </w:rPr>
              <w:t>Unrecognized (%)</w:t>
            </w:r>
          </w:p>
        </w:tc>
        <w:tc>
          <w:tcPr>
            <w:tcW w:w="0" w:type="auto"/>
            <w:tcBorders>
              <w:top w:val="nil"/>
              <w:left w:val="nil"/>
              <w:bottom w:val="nil"/>
              <w:right w:val="nil"/>
            </w:tcBorders>
            <w:tcMar>
              <w:top w:w="-1" w:type="dxa"/>
              <w:left w:w="-1" w:type="dxa"/>
              <w:bottom w:w="-1" w:type="dxa"/>
              <w:right w:w="-1" w:type="dxa"/>
            </w:tcMar>
          </w:tcPr>
          <w:p w14:paraId="4B51EBD3" w14:textId="77777777" w:rsidR="00C743AC" w:rsidRPr="00EB32D6" w:rsidRDefault="00000000">
            <w:pPr>
              <w:widowControl/>
              <w:snapToGrid w:val="0"/>
              <w:rPr>
                <w:rFonts w:ascii="Times New Roman" w:eastAsia="SimSun" w:hAnsi="Times New Roman" w:cs="Times New Roman"/>
                <w:color w:val="000000"/>
                <w:sz w:val="22"/>
                <w:szCs w:val="22"/>
              </w:rPr>
            </w:pPr>
            <w:r w:rsidRPr="00EB32D6">
              <w:rPr>
                <w:rFonts w:ascii="Times New Roman" w:eastAsia="SimSun" w:hAnsi="Times New Roman" w:cs="Times New Roman"/>
                <w:sz w:val="22"/>
                <w:szCs w:val="22"/>
              </w:rPr>
              <w:t>8.1</w:t>
            </w:r>
          </w:p>
        </w:tc>
        <w:tc>
          <w:tcPr>
            <w:tcW w:w="0" w:type="auto"/>
            <w:tcBorders>
              <w:top w:val="nil"/>
              <w:left w:val="nil"/>
              <w:bottom w:val="nil"/>
              <w:right w:val="nil"/>
            </w:tcBorders>
            <w:tcMar>
              <w:top w:w="-1" w:type="dxa"/>
              <w:left w:w="-1" w:type="dxa"/>
              <w:bottom w:w="-1" w:type="dxa"/>
              <w:right w:w="-1" w:type="dxa"/>
            </w:tcMar>
          </w:tcPr>
          <w:p w14:paraId="20D0EBCD" w14:textId="77777777" w:rsidR="00C743AC" w:rsidRPr="00EB32D6" w:rsidRDefault="00000000">
            <w:pPr>
              <w:widowControl/>
              <w:snapToGrid w:val="0"/>
              <w:rPr>
                <w:rFonts w:ascii="Times New Roman" w:eastAsia="SimSun" w:hAnsi="Times New Roman" w:cs="Times New Roman"/>
                <w:color w:val="000000"/>
                <w:sz w:val="22"/>
                <w:szCs w:val="22"/>
              </w:rPr>
            </w:pPr>
            <w:r w:rsidRPr="00EB32D6">
              <w:rPr>
                <w:rFonts w:ascii="Times New Roman" w:eastAsia="SimSun" w:hAnsi="Times New Roman" w:cs="Times New Roman"/>
                <w:sz w:val="22"/>
                <w:szCs w:val="22"/>
              </w:rPr>
              <w:t>2.8</w:t>
            </w:r>
          </w:p>
        </w:tc>
        <w:tc>
          <w:tcPr>
            <w:tcW w:w="0" w:type="auto"/>
            <w:tcBorders>
              <w:top w:val="nil"/>
              <w:left w:val="nil"/>
              <w:bottom w:val="nil"/>
              <w:right w:val="nil"/>
            </w:tcBorders>
            <w:tcMar>
              <w:top w:w="-1" w:type="dxa"/>
              <w:left w:w="-1" w:type="dxa"/>
              <w:bottom w:w="-1" w:type="dxa"/>
              <w:right w:w="-1" w:type="dxa"/>
            </w:tcMar>
          </w:tcPr>
          <w:p w14:paraId="09F2CB67" w14:textId="77777777" w:rsidR="00C743AC" w:rsidRPr="00EB32D6" w:rsidRDefault="00000000">
            <w:pPr>
              <w:widowControl/>
              <w:snapToGrid w:val="0"/>
              <w:rPr>
                <w:rFonts w:ascii="Times New Roman" w:eastAsia="SimSun" w:hAnsi="Times New Roman" w:cs="Times New Roman"/>
                <w:color w:val="000000"/>
                <w:sz w:val="22"/>
                <w:szCs w:val="22"/>
              </w:rPr>
            </w:pPr>
            <w:r w:rsidRPr="00EB32D6">
              <w:rPr>
                <w:rFonts w:ascii="Times New Roman" w:eastAsia="SimSun" w:hAnsi="Times New Roman" w:cs="Times New Roman"/>
                <w:sz w:val="22"/>
                <w:szCs w:val="22"/>
              </w:rPr>
              <w:t>5.0</w:t>
            </w:r>
          </w:p>
        </w:tc>
        <w:tc>
          <w:tcPr>
            <w:tcW w:w="1153" w:type="dxa"/>
            <w:tcBorders>
              <w:top w:val="nil"/>
              <w:left w:val="nil"/>
              <w:bottom w:val="nil"/>
              <w:right w:val="nil"/>
            </w:tcBorders>
            <w:tcMar>
              <w:top w:w="-1" w:type="dxa"/>
              <w:left w:w="-1" w:type="dxa"/>
              <w:bottom w:w="-1" w:type="dxa"/>
              <w:right w:w="-1" w:type="dxa"/>
            </w:tcMar>
          </w:tcPr>
          <w:p w14:paraId="4271DD2C" w14:textId="77777777" w:rsidR="00C743AC" w:rsidRPr="00EB32D6" w:rsidRDefault="00000000">
            <w:pPr>
              <w:widowControl/>
              <w:snapToGrid w:val="0"/>
              <w:rPr>
                <w:rFonts w:ascii="Times New Roman" w:eastAsia="SimSun" w:hAnsi="Times New Roman" w:cs="Times New Roman"/>
                <w:color w:val="000000"/>
                <w:sz w:val="22"/>
                <w:szCs w:val="22"/>
              </w:rPr>
            </w:pPr>
            <w:r w:rsidRPr="00EB32D6">
              <w:rPr>
                <w:rFonts w:ascii="Times New Roman" w:eastAsia="SimSun" w:hAnsi="Times New Roman" w:cs="Times New Roman"/>
                <w:sz w:val="22"/>
                <w:szCs w:val="22"/>
              </w:rPr>
              <w:t>5.4</w:t>
            </w:r>
          </w:p>
        </w:tc>
      </w:tr>
      <w:tr w:rsidR="00C743AC" w:rsidRPr="00EB32D6" w14:paraId="1BEE223E" w14:textId="77777777">
        <w:trPr>
          <w:tblHeader/>
          <w:jc w:val="center"/>
        </w:trPr>
        <w:tc>
          <w:tcPr>
            <w:tcW w:w="3382" w:type="dxa"/>
            <w:tcBorders>
              <w:top w:val="nil"/>
              <w:left w:val="nil"/>
              <w:bottom w:val="single" w:sz="12" w:space="0" w:color="auto"/>
              <w:right w:val="nil"/>
            </w:tcBorders>
            <w:tcMar>
              <w:top w:w="-1" w:type="dxa"/>
              <w:left w:w="-1" w:type="dxa"/>
              <w:bottom w:w="-1" w:type="dxa"/>
              <w:right w:w="-1" w:type="dxa"/>
            </w:tcMar>
          </w:tcPr>
          <w:p w14:paraId="748BEB8F" w14:textId="77777777" w:rsidR="00C743AC" w:rsidRPr="00EB32D6" w:rsidRDefault="00000000">
            <w:pPr>
              <w:widowControl/>
              <w:snapToGrid w:val="0"/>
              <w:rPr>
                <w:rFonts w:ascii="Times New Roman" w:eastAsia="SimSun" w:hAnsi="Times New Roman" w:cs="Times New Roman"/>
                <w:color w:val="000000"/>
                <w:sz w:val="22"/>
                <w:szCs w:val="22"/>
              </w:rPr>
            </w:pPr>
            <w:r w:rsidRPr="00EB32D6">
              <w:rPr>
                <w:rFonts w:ascii="Times New Roman" w:eastAsia="SimSun" w:hAnsi="Times New Roman" w:cs="Times New Roman"/>
                <w:sz w:val="22"/>
                <w:szCs w:val="22"/>
              </w:rPr>
              <w:t>Teacher Evaluation (10)</w:t>
            </w:r>
          </w:p>
        </w:tc>
        <w:tc>
          <w:tcPr>
            <w:tcW w:w="1284" w:type="dxa"/>
            <w:tcBorders>
              <w:top w:val="nil"/>
              <w:left w:val="nil"/>
              <w:bottom w:val="single" w:sz="12" w:space="0" w:color="auto"/>
              <w:right w:val="nil"/>
            </w:tcBorders>
            <w:tcMar>
              <w:top w:w="-1" w:type="dxa"/>
              <w:left w:w="-1" w:type="dxa"/>
              <w:bottom w:w="-1" w:type="dxa"/>
              <w:right w:w="-1" w:type="dxa"/>
            </w:tcMar>
          </w:tcPr>
          <w:p w14:paraId="36D8D04D" w14:textId="77777777" w:rsidR="00C743AC" w:rsidRPr="00EB32D6" w:rsidRDefault="00000000">
            <w:pPr>
              <w:widowControl/>
              <w:snapToGrid w:val="0"/>
              <w:rPr>
                <w:rFonts w:ascii="Times New Roman" w:eastAsia="SimSun" w:hAnsi="Times New Roman" w:cs="Times New Roman"/>
                <w:color w:val="000000"/>
                <w:sz w:val="22"/>
                <w:szCs w:val="22"/>
              </w:rPr>
            </w:pPr>
            <w:r w:rsidRPr="00EB32D6">
              <w:rPr>
                <w:rFonts w:ascii="Times New Roman" w:eastAsia="SimSun" w:hAnsi="Times New Roman" w:cs="Times New Roman"/>
                <w:sz w:val="22"/>
                <w:szCs w:val="22"/>
              </w:rPr>
              <w:t>7.2</w:t>
            </w:r>
          </w:p>
        </w:tc>
        <w:tc>
          <w:tcPr>
            <w:tcW w:w="1547" w:type="dxa"/>
            <w:tcBorders>
              <w:top w:val="nil"/>
              <w:left w:val="nil"/>
              <w:bottom w:val="single" w:sz="12" w:space="0" w:color="auto"/>
              <w:right w:val="nil"/>
            </w:tcBorders>
            <w:tcMar>
              <w:top w:w="-1" w:type="dxa"/>
              <w:left w:w="-1" w:type="dxa"/>
              <w:bottom w:w="-1" w:type="dxa"/>
              <w:right w:w="-1" w:type="dxa"/>
            </w:tcMar>
          </w:tcPr>
          <w:p w14:paraId="36BBDD7C" w14:textId="77777777" w:rsidR="00C743AC" w:rsidRPr="00EB32D6" w:rsidRDefault="00000000">
            <w:pPr>
              <w:widowControl/>
              <w:snapToGrid w:val="0"/>
              <w:rPr>
                <w:rFonts w:ascii="Times New Roman" w:eastAsia="SimSun" w:hAnsi="Times New Roman" w:cs="Times New Roman"/>
                <w:color w:val="000000"/>
                <w:sz w:val="22"/>
                <w:szCs w:val="22"/>
              </w:rPr>
            </w:pPr>
            <w:r w:rsidRPr="00EB32D6">
              <w:rPr>
                <w:rFonts w:ascii="Times New Roman" w:eastAsia="SimSun" w:hAnsi="Times New Roman" w:cs="Times New Roman"/>
                <w:sz w:val="22"/>
                <w:szCs w:val="22"/>
              </w:rPr>
              <w:t>8.5</w:t>
            </w:r>
          </w:p>
        </w:tc>
        <w:tc>
          <w:tcPr>
            <w:tcW w:w="1153" w:type="dxa"/>
            <w:tcBorders>
              <w:top w:val="nil"/>
              <w:left w:val="nil"/>
              <w:bottom w:val="single" w:sz="12" w:space="0" w:color="auto"/>
              <w:right w:val="nil"/>
            </w:tcBorders>
            <w:tcMar>
              <w:top w:w="-1" w:type="dxa"/>
              <w:left w:w="-1" w:type="dxa"/>
              <w:bottom w:w="-1" w:type="dxa"/>
              <w:right w:w="-1" w:type="dxa"/>
            </w:tcMar>
          </w:tcPr>
          <w:p w14:paraId="602CAAC6" w14:textId="77777777" w:rsidR="00C743AC" w:rsidRPr="00EB32D6" w:rsidRDefault="00000000">
            <w:pPr>
              <w:widowControl/>
              <w:snapToGrid w:val="0"/>
              <w:rPr>
                <w:rFonts w:ascii="Times New Roman" w:eastAsia="SimSun" w:hAnsi="Times New Roman" w:cs="Times New Roman"/>
                <w:color w:val="000000"/>
                <w:sz w:val="22"/>
                <w:szCs w:val="22"/>
              </w:rPr>
            </w:pPr>
            <w:r w:rsidRPr="00EB32D6">
              <w:rPr>
                <w:rFonts w:ascii="Times New Roman" w:eastAsia="SimSun" w:hAnsi="Times New Roman" w:cs="Times New Roman"/>
                <w:sz w:val="22"/>
                <w:szCs w:val="22"/>
              </w:rPr>
              <w:t>8.1</w:t>
            </w:r>
          </w:p>
        </w:tc>
        <w:tc>
          <w:tcPr>
            <w:tcW w:w="1153" w:type="dxa"/>
            <w:tcBorders>
              <w:top w:val="nil"/>
              <w:left w:val="nil"/>
              <w:bottom w:val="single" w:sz="12" w:space="0" w:color="auto"/>
              <w:right w:val="nil"/>
            </w:tcBorders>
            <w:tcMar>
              <w:top w:w="-1" w:type="dxa"/>
              <w:left w:w="-1" w:type="dxa"/>
              <w:bottom w:w="-1" w:type="dxa"/>
              <w:right w:w="-1" w:type="dxa"/>
            </w:tcMar>
          </w:tcPr>
          <w:p w14:paraId="2CA047C5" w14:textId="77777777" w:rsidR="00C743AC" w:rsidRPr="00EB32D6" w:rsidRDefault="00000000">
            <w:pPr>
              <w:widowControl/>
              <w:snapToGrid w:val="0"/>
              <w:rPr>
                <w:rFonts w:ascii="Times New Roman" w:eastAsia="SimSun" w:hAnsi="Times New Roman" w:cs="Times New Roman"/>
                <w:color w:val="000000"/>
                <w:sz w:val="22"/>
                <w:szCs w:val="22"/>
              </w:rPr>
            </w:pPr>
            <w:r w:rsidRPr="00EB32D6">
              <w:rPr>
                <w:rFonts w:ascii="Times New Roman" w:eastAsia="SimSun" w:hAnsi="Times New Roman" w:cs="Times New Roman"/>
                <w:sz w:val="22"/>
                <w:szCs w:val="22"/>
              </w:rPr>
              <w:t>7.9</w:t>
            </w:r>
          </w:p>
        </w:tc>
      </w:tr>
    </w:tbl>
    <w:p w14:paraId="19A4578D" w14:textId="77777777" w:rsidR="00C743AC" w:rsidRPr="00EB32D6" w:rsidRDefault="00000000">
      <w:pPr>
        <w:spacing w:line="180" w:lineRule="atLeast"/>
        <w:jc w:val="center"/>
        <w:rPr>
          <w:rFonts w:ascii="Times New Roman" w:eastAsia="SimSun" w:hAnsi="Times New Roman" w:cs="Times New Roman"/>
          <w:color w:val="000000"/>
          <w:sz w:val="22"/>
          <w:szCs w:val="22"/>
          <w:lang w:bidi="ar"/>
        </w:rPr>
      </w:pPr>
      <w:r w:rsidRPr="00EB32D6">
        <w:rPr>
          <w:rFonts w:ascii="Times New Roman" w:eastAsia="SimSun" w:hAnsi="Times New Roman" w:cs="Times New Roman"/>
          <w:color w:val="000000"/>
          <w:sz w:val="22"/>
          <w:szCs w:val="22"/>
          <w:lang w:bidi="ar"/>
        </w:rPr>
        <w:t>Table 2 Evaluation of The Missing Piece Practical Training</w:t>
      </w:r>
    </w:p>
    <w:p w14:paraId="50BF8A72" w14:textId="77777777" w:rsidR="00C743AC" w:rsidRPr="00EB32D6" w:rsidRDefault="00000000">
      <w:pPr>
        <w:jc w:val="both"/>
        <w:rPr>
          <w:rFonts w:ascii="Times New Roman" w:eastAsia="SimSun" w:hAnsi="Times New Roman" w:cs="Times New Roman"/>
          <w:sz w:val="22"/>
          <w:szCs w:val="22"/>
          <w:lang w:bidi="ar-SA"/>
        </w:rPr>
      </w:pPr>
      <w:r w:rsidRPr="00EB32D6">
        <w:rPr>
          <w:rFonts w:ascii="Times New Roman" w:eastAsia="SimSun" w:hAnsi="Times New Roman" w:cs="Times New Roman"/>
          <w:sz w:val="22"/>
          <w:szCs w:val="22"/>
          <w:lang w:bidi="ar-SA"/>
        </w:rPr>
        <w:t>Existing Problems and Constraints</w:t>
      </w:r>
    </w:p>
    <w:p w14:paraId="5F2F2987" w14:textId="77777777" w:rsidR="00C743AC" w:rsidRPr="00EB32D6" w:rsidRDefault="00000000">
      <w:pPr>
        <w:jc w:val="both"/>
        <w:rPr>
          <w:rFonts w:ascii="Times New Roman" w:eastAsia="SimSun" w:hAnsi="Times New Roman" w:cs="Times New Roman"/>
          <w:sz w:val="22"/>
          <w:szCs w:val="22"/>
          <w:lang w:bidi="ar-SA"/>
        </w:rPr>
      </w:pPr>
      <w:r w:rsidRPr="00EB32D6">
        <w:rPr>
          <w:rFonts w:ascii="Times New Roman" w:eastAsia="SimSun" w:hAnsi="Times New Roman" w:cs="Times New Roman"/>
          <w:sz w:val="22"/>
          <w:szCs w:val="22"/>
          <w:lang w:bidi="ar-SA"/>
        </w:rPr>
        <w:t>1)Theory-Practice Disconnection: 37.2% of students reported abstract theoretical teaching; 21.7% failed to integrate "imperfect growth" connotation into works.</w:t>
      </w:r>
    </w:p>
    <w:p w14:paraId="2F591263" w14:textId="77777777" w:rsidR="00C743AC" w:rsidRPr="00EB32D6" w:rsidRDefault="00000000">
      <w:pPr>
        <w:jc w:val="both"/>
        <w:rPr>
          <w:rFonts w:ascii="Times New Roman" w:eastAsia="SimSun" w:hAnsi="Times New Roman" w:cs="Times New Roman"/>
          <w:sz w:val="22"/>
          <w:szCs w:val="22"/>
          <w:lang w:bidi="ar-SA"/>
        </w:rPr>
      </w:pPr>
      <w:r w:rsidRPr="00EB32D6">
        <w:rPr>
          <w:rFonts w:ascii="Times New Roman" w:eastAsia="SimSun" w:hAnsi="Times New Roman" w:cs="Times New Roman"/>
          <w:sz w:val="22"/>
          <w:szCs w:val="22"/>
          <w:lang w:bidi="ar-SA"/>
        </w:rPr>
        <w:t>2)Lack of Targeted Teaching: Freshmen (high theoretical cognition, weak practice) and juniors (rich practice, low theoretical cognition) showed unbalanced development.</w:t>
      </w:r>
    </w:p>
    <w:p w14:paraId="07231A7D" w14:textId="77777777" w:rsidR="00C743AC" w:rsidRPr="00EB32D6" w:rsidRDefault="00000000">
      <w:pPr>
        <w:jc w:val="both"/>
        <w:rPr>
          <w:rFonts w:ascii="Times New Roman" w:eastAsia="SimSun" w:hAnsi="Times New Roman" w:cs="Times New Roman"/>
          <w:sz w:val="22"/>
          <w:szCs w:val="22"/>
          <w:lang w:bidi="ar-SA"/>
        </w:rPr>
      </w:pPr>
      <w:r w:rsidRPr="00EB32D6">
        <w:rPr>
          <w:rFonts w:ascii="Times New Roman" w:eastAsia="SimSun" w:hAnsi="Times New Roman" w:cs="Times New Roman"/>
          <w:sz w:val="22"/>
          <w:szCs w:val="22"/>
          <w:lang w:bidi="ar-SA"/>
        </w:rPr>
        <w:t>3)Inadequate Evaluation System: Final works accounted for 70% of evaluation, neglecting process-oriented indicators.</w:t>
      </w:r>
    </w:p>
    <w:p w14:paraId="68BBDB90" w14:textId="77777777" w:rsidR="00C743AC" w:rsidRPr="00EB32D6" w:rsidRDefault="00000000">
      <w:pPr>
        <w:jc w:val="both"/>
        <w:rPr>
          <w:rFonts w:ascii="Times New Roman" w:eastAsia="SimSun" w:hAnsi="Times New Roman" w:cs="Times New Roman"/>
          <w:sz w:val="22"/>
          <w:szCs w:val="22"/>
          <w:lang w:bidi="ar-SA"/>
        </w:rPr>
      </w:pPr>
      <w:r w:rsidRPr="00EB32D6">
        <w:rPr>
          <w:rFonts w:ascii="Times New Roman" w:eastAsia="SimSun" w:hAnsi="Times New Roman" w:cs="Times New Roman"/>
          <w:sz w:val="22"/>
          <w:szCs w:val="22"/>
          <w:lang w:bidi="ar-SA"/>
        </w:rPr>
        <w:t>4)Insufficient Support System: 63.5% of students cited lack of creative display platforms; 62.3% of teachers lacked industry practical experience.</w:t>
      </w:r>
    </w:p>
    <w:p w14:paraId="09E31F53" w14:textId="77777777" w:rsidR="00C743AC" w:rsidRPr="00EB32D6" w:rsidRDefault="00C743AC">
      <w:pPr>
        <w:jc w:val="both"/>
        <w:rPr>
          <w:rFonts w:ascii="Times New Roman" w:eastAsia="SimSun" w:hAnsi="Times New Roman" w:cs="Times New Roman"/>
          <w:b/>
          <w:bCs/>
          <w:lang w:bidi="ar-SA"/>
        </w:rPr>
      </w:pPr>
    </w:p>
    <w:p w14:paraId="693557DD" w14:textId="77777777" w:rsidR="00C743AC" w:rsidRPr="00EB32D6" w:rsidRDefault="00000000">
      <w:pPr>
        <w:jc w:val="both"/>
        <w:rPr>
          <w:rFonts w:ascii="Times New Roman" w:eastAsia="SimSun" w:hAnsi="Times New Roman" w:cs="Times New Roman"/>
          <w:b/>
          <w:bCs/>
          <w:lang w:bidi="ar-SA"/>
        </w:rPr>
      </w:pPr>
      <w:bookmarkStart w:id="0" w:name="OLE_LINK1"/>
      <w:r w:rsidRPr="00EB32D6">
        <w:rPr>
          <w:rFonts w:ascii="Times New Roman" w:eastAsia="SimSun" w:hAnsi="Times New Roman" w:cs="Times New Roman"/>
          <w:b/>
          <w:bCs/>
          <w:lang w:bidi="ar-SA"/>
        </w:rPr>
        <w:t>DISCUSSION AND CONCLUSION</w:t>
      </w:r>
      <w:bookmarkEnd w:id="0"/>
    </w:p>
    <w:p w14:paraId="3E78B9A3" w14:textId="77777777" w:rsidR="00C743AC" w:rsidRPr="00EB32D6" w:rsidRDefault="00000000">
      <w:pPr>
        <w:jc w:val="both"/>
        <w:rPr>
          <w:rFonts w:ascii="Times New Roman" w:eastAsia="SimSun" w:hAnsi="Times New Roman" w:cs="Times New Roman"/>
          <w:sz w:val="22"/>
          <w:szCs w:val="22"/>
          <w:lang w:bidi="ar-SA"/>
        </w:rPr>
      </w:pPr>
      <w:r w:rsidRPr="00EB32D6">
        <w:rPr>
          <w:rFonts w:ascii="Times New Roman" w:eastAsia="SimSun" w:hAnsi="Times New Roman" w:cs="Times New Roman"/>
          <w:sz w:val="22"/>
          <w:szCs w:val="22"/>
          <w:lang w:bidi="ar-SA"/>
        </w:rPr>
        <w:t>Research Findings</w:t>
      </w:r>
    </w:p>
    <w:p w14:paraId="387681D3" w14:textId="77777777" w:rsidR="00C743AC" w:rsidRPr="00EB32D6" w:rsidRDefault="00000000">
      <w:pPr>
        <w:jc w:val="both"/>
        <w:rPr>
          <w:rFonts w:ascii="Times New Roman" w:eastAsia="SimSun" w:hAnsi="Times New Roman" w:cs="Times New Roman"/>
          <w:sz w:val="22"/>
          <w:szCs w:val="22"/>
          <w:lang w:bidi="ar-SA"/>
        </w:rPr>
      </w:pPr>
      <w:r w:rsidRPr="00EB32D6">
        <w:rPr>
          <w:rFonts w:ascii="Times New Roman" w:eastAsia="SimSun" w:hAnsi="Times New Roman" w:cs="Times New Roman"/>
          <w:sz w:val="22"/>
          <w:szCs w:val="22"/>
          <w:lang w:bidi="ar-SA"/>
        </w:rPr>
        <w:t>The "Growing Circle" theory-based practical framework effectively improves Advertising Art Design students’ resilience, aesthetic inclusiveness, and professional creation ability, with significant differences across professional foundations, grades, and genders. This aligns with the core logic of the "Growing Circle" theory (imperfection promotes growth) and Perception Theory (cognitive transformation drives creative behavior) (Goleman, 2019). Compared with domestic research (Li, 2024), this study visualizes abstract theory through practical training, enhancing operability; unlike foreign general education studies (Silverstein, 1976), it combines vocational professional characteristics, filling the research gap.</w:t>
      </w:r>
    </w:p>
    <w:p w14:paraId="355F4CCD" w14:textId="77777777" w:rsidR="00C743AC" w:rsidRPr="00EB32D6" w:rsidRDefault="00000000">
      <w:pPr>
        <w:jc w:val="both"/>
        <w:rPr>
          <w:rFonts w:ascii="Times New Roman" w:eastAsia="SimSun" w:hAnsi="Times New Roman" w:cs="Times New Roman"/>
          <w:sz w:val="22"/>
          <w:szCs w:val="22"/>
          <w:lang w:bidi="ar-SA"/>
        </w:rPr>
      </w:pPr>
      <w:r w:rsidRPr="00EB32D6">
        <w:rPr>
          <w:rFonts w:ascii="Times New Roman" w:eastAsia="SimSun" w:hAnsi="Times New Roman" w:cs="Times New Roman"/>
          <w:sz w:val="22"/>
          <w:szCs w:val="22"/>
          <w:lang w:bidi="ar-SA"/>
        </w:rPr>
        <w:t>Optimization Strategies</w:t>
      </w:r>
    </w:p>
    <w:p w14:paraId="24122373" w14:textId="77777777" w:rsidR="00C743AC" w:rsidRPr="00EB32D6" w:rsidRDefault="00000000">
      <w:pPr>
        <w:jc w:val="both"/>
        <w:rPr>
          <w:rFonts w:ascii="Times New Roman" w:eastAsia="SimSun" w:hAnsi="Times New Roman" w:cs="Times New Roman"/>
          <w:sz w:val="22"/>
          <w:szCs w:val="22"/>
          <w:lang w:bidi="ar-SA"/>
        </w:rPr>
      </w:pPr>
      <w:r w:rsidRPr="00EB32D6">
        <w:rPr>
          <w:rFonts w:ascii="Times New Roman" w:eastAsia="SimSun" w:hAnsi="Times New Roman" w:cs="Times New Roman"/>
          <w:sz w:val="22"/>
          <w:szCs w:val="22"/>
          <w:lang w:bidi="ar-SA"/>
        </w:rPr>
        <w:t>Curriculum and Teaching Design</w:t>
      </w:r>
    </w:p>
    <w:p w14:paraId="66E6B77C" w14:textId="77777777" w:rsidR="00C743AC" w:rsidRPr="00EB32D6" w:rsidRDefault="00000000">
      <w:pPr>
        <w:jc w:val="both"/>
        <w:rPr>
          <w:rFonts w:ascii="Times New Roman" w:eastAsia="SimSun" w:hAnsi="Times New Roman" w:cs="Times New Roman"/>
          <w:sz w:val="22"/>
          <w:szCs w:val="22"/>
          <w:lang w:bidi="ar-SA"/>
        </w:rPr>
      </w:pPr>
      <w:r w:rsidRPr="00EB32D6">
        <w:rPr>
          <w:rFonts w:ascii="Times New Roman" w:eastAsia="SimSun" w:hAnsi="Times New Roman" w:cs="Times New Roman"/>
          <w:sz w:val="22"/>
          <w:szCs w:val="22"/>
          <w:lang w:bidi="ar-SA"/>
        </w:rPr>
        <w:t>1</w:t>
      </w:r>
      <w:r w:rsidRPr="00EB32D6">
        <w:rPr>
          <w:rFonts w:ascii="Times New Roman" w:eastAsia="SimSun" w:hAnsi="Times New Roman" w:cs="Times New Roman" w:hint="eastAsia"/>
          <w:sz w:val="22"/>
          <w:szCs w:val="22"/>
          <w:lang w:bidi="ar-SA"/>
        </w:rPr>
        <w:t>)</w:t>
      </w:r>
      <w:r w:rsidRPr="00EB32D6">
        <w:rPr>
          <w:rFonts w:ascii="Times New Roman" w:eastAsia="SimSun" w:hAnsi="Times New Roman" w:cs="Times New Roman"/>
          <w:sz w:val="22"/>
          <w:szCs w:val="22"/>
          <w:lang w:bidi="ar-SA"/>
        </w:rPr>
        <w:t>Hierarchical Teaching Implementation: Design differentiated modules for freshmen (theoretical cognition + basic practice), sophomores (creative trial and error + skill improvement), and juniors (industry project application + reflective optimization).</w:t>
      </w:r>
    </w:p>
    <w:p w14:paraId="3C19FF8A" w14:textId="77777777" w:rsidR="00C743AC" w:rsidRPr="00EB32D6" w:rsidRDefault="00000000">
      <w:pPr>
        <w:jc w:val="both"/>
        <w:rPr>
          <w:rFonts w:ascii="Times New Roman" w:eastAsia="SimSun" w:hAnsi="Times New Roman" w:cs="Times New Roman"/>
          <w:sz w:val="22"/>
          <w:szCs w:val="22"/>
          <w:lang w:bidi="ar-SA"/>
        </w:rPr>
      </w:pPr>
      <w:r w:rsidRPr="00EB32D6">
        <w:rPr>
          <w:rFonts w:ascii="Times New Roman" w:eastAsia="SimSun" w:hAnsi="Times New Roman" w:cs="Times New Roman"/>
          <w:sz w:val="22"/>
          <w:szCs w:val="22"/>
          <w:lang w:bidi="ar-SA"/>
        </w:rPr>
        <w:lastRenderedPageBreak/>
        <w:t>2</w:t>
      </w:r>
      <w:r w:rsidRPr="00EB32D6">
        <w:rPr>
          <w:rFonts w:ascii="Times New Roman" w:eastAsia="SimSun" w:hAnsi="Times New Roman" w:cs="Times New Roman" w:hint="eastAsia"/>
          <w:sz w:val="22"/>
          <w:szCs w:val="22"/>
          <w:lang w:bidi="ar-SA"/>
        </w:rPr>
        <w:t>)</w:t>
      </w:r>
      <w:r w:rsidRPr="00EB32D6">
        <w:rPr>
          <w:rFonts w:ascii="Times New Roman" w:eastAsia="SimSun" w:hAnsi="Times New Roman" w:cs="Times New Roman"/>
          <w:sz w:val="22"/>
          <w:szCs w:val="22"/>
          <w:lang w:bidi="ar-SA"/>
        </w:rPr>
        <w:t>Theory-Practice Integration: Embed "imperfect aesthetic" application into core courses (advertising creative design, visual communication) with specific tasks (e.g., "imperfect element poster creation").</w:t>
      </w:r>
    </w:p>
    <w:p w14:paraId="4C6D35C3" w14:textId="77777777" w:rsidR="00C743AC" w:rsidRPr="00EB32D6" w:rsidRDefault="00000000">
      <w:pPr>
        <w:jc w:val="both"/>
        <w:rPr>
          <w:rFonts w:ascii="Times New Roman" w:eastAsia="SimSun" w:hAnsi="Times New Roman" w:cs="Times New Roman"/>
          <w:sz w:val="22"/>
          <w:szCs w:val="22"/>
          <w:lang w:bidi="ar-SA"/>
        </w:rPr>
      </w:pPr>
      <w:r w:rsidRPr="00EB32D6">
        <w:rPr>
          <w:rFonts w:ascii="Times New Roman" w:eastAsia="SimSun" w:hAnsi="Times New Roman" w:cs="Times New Roman"/>
          <w:sz w:val="22"/>
          <w:szCs w:val="22"/>
          <w:lang w:bidi="ar-SA"/>
        </w:rPr>
        <w:t>Resource and Support Enhancement</w:t>
      </w:r>
    </w:p>
    <w:p w14:paraId="14B45182" w14:textId="77777777" w:rsidR="00C743AC" w:rsidRPr="00EB32D6" w:rsidRDefault="00000000">
      <w:pPr>
        <w:jc w:val="both"/>
        <w:rPr>
          <w:rFonts w:ascii="Times New Roman" w:eastAsia="SimSun" w:hAnsi="Times New Roman" w:cs="Times New Roman"/>
          <w:sz w:val="22"/>
          <w:szCs w:val="22"/>
          <w:lang w:bidi="ar-SA"/>
        </w:rPr>
      </w:pPr>
      <w:r w:rsidRPr="00EB32D6">
        <w:rPr>
          <w:rFonts w:ascii="Times New Roman" w:eastAsia="SimSun" w:hAnsi="Times New Roman" w:cs="Times New Roman"/>
          <w:sz w:val="22"/>
          <w:szCs w:val="22"/>
          <w:lang w:bidi="ar-SA"/>
        </w:rPr>
        <w:t>1</w:t>
      </w:r>
      <w:r w:rsidRPr="00EB32D6">
        <w:rPr>
          <w:rFonts w:ascii="Times New Roman" w:eastAsia="SimSun" w:hAnsi="Times New Roman" w:cs="Times New Roman" w:hint="eastAsia"/>
          <w:sz w:val="22"/>
          <w:szCs w:val="22"/>
          <w:lang w:bidi="ar-SA"/>
        </w:rPr>
        <w:t>)</w:t>
      </w:r>
      <w:r w:rsidRPr="00EB32D6">
        <w:rPr>
          <w:rFonts w:ascii="Times New Roman" w:eastAsia="SimSun" w:hAnsi="Times New Roman" w:cs="Times New Roman"/>
          <w:sz w:val="22"/>
          <w:szCs w:val="22"/>
          <w:lang w:bidi="ar-SA"/>
        </w:rPr>
        <w:t>Platform Construction: Establish creative display platforms (e.g., "Growing Circle" works exhibition) and industry cooperation bases for real project practice.</w:t>
      </w:r>
    </w:p>
    <w:p w14:paraId="64A7AFA2" w14:textId="77777777" w:rsidR="00C743AC" w:rsidRPr="00EB32D6" w:rsidRDefault="00000000">
      <w:pPr>
        <w:jc w:val="both"/>
        <w:rPr>
          <w:rFonts w:ascii="Times New Roman" w:eastAsia="SimSun" w:hAnsi="Times New Roman" w:cs="Times New Roman"/>
          <w:sz w:val="22"/>
          <w:szCs w:val="22"/>
          <w:lang w:bidi="ar-SA"/>
        </w:rPr>
      </w:pPr>
      <w:r w:rsidRPr="00EB32D6">
        <w:rPr>
          <w:rFonts w:ascii="Times New Roman" w:eastAsia="SimSun" w:hAnsi="Times New Roman" w:cs="Times New Roman"/>
          <w:sz w:val="22"/>
          <w:szCs w:val="22"/>
          <w:lang w:bidi="ar-SA"/>
        </w:rPr>
        <w:t>2</w:t>
      </w:r>
      <w:r w:rsidRPr="00EB32D6">
        <w:rPr>
          <w:rFonts w:ascii="Times New Roman" w:eastAsia="SimSun" w:hAnsi="Times New Roman" w:cs="Times New Roman" w:hint="eastAsia"/>
          <w:sz w:val="22"/>
          <w:szCs w:val="22"/>
          <w:lang w:bidi="ar-SA"/>
        </w:rPr>
        <w:t>)</w:t>
      </w:r>
      <w:r w:rsidRPr="00EB32D6">
        <w:rPr>
          <w:rFonts w:ascii="Times New Roman" w:eastAsia="SimSun" w:hAnsi="Times New Roman" w:cs="Times New Roman"/>
          <w:sz w:val="22"/>
          <w:szCs w:val="22"/>
          <w:lang w:bidi="ar-SA"/>
        </w:rPr>
        <w:t>Teacher Development: Provide training on the "Growing Circle" theory and industry trends, encouraging participation in professional projects.</w:t>
      </w:r>
    </w:p>
    <w:p w14:paraId="1009B7AA" w14:textId="77777777" w:rsidR="00C743AC" w:rsidRPr="00EB32D6" w:rsidRDefault="00000000">
      <w:pPr>
        <w:jc w:val="both"/>
        <w:rPr>
          <w:rFonts w:ascii="Times New Roman" w:eastAsia="SimSun" w:hAnsi="Times New Roman" w:cs="Times New Roman"/>
          <w:sz w:val="22"/>
          <w:szCs w:val="22"/>
          <w:lang w:bidi="ar-SA"/>
        </w:rPr>
      </w:pPr>
      <w:r w:rsidRPr="00EB32D6">
        <w:rPr>
          <w:rFonts w:ascii="Times New Roman" w:eastAsia="SimSun" w:hAnsi="Times New Roman" w:cs="Times New Roman"/>
          <w:sz w:val="22"/>
          <w:szCs w:val="22"/>
          <w:lang w:bidi="ar-SA"/>
        </w:rPr>
        <w:t>Evaluation System Improvement</w:t>
      </w:r>
    </w:p>
    <w:p w14:paraId="5FD7B81E" w14:textId="77777777" w:rsidR="00C743AC" w:rsidRPr="00EB32D6" w:rsidRDefault="00000000">
      <w:pPr>
        <w:jc w:val="both"/>
        <w:rPr>
          <w:rFonts w:ascii="Times New Roman" w:eastAsia="SimSun" w:hAnsi="Times New Roman" w:cs="Times New Roman"/>
          <w:sz w:val="22"/>
          <w:szCs w:val="22"/>
          <w:lang w:bidi="ar-SA"/>
        </w:rPr>
      </w:pPr>
      <w:r w:rsidRPr="00EB32D6">
        <w:rPr>
          <w:rFonts w:ascii="Times New Roman" w:eastAsia="SimSun" w:hAnsi="Times New Roman" w:cs="Times New Roman"/>
          <w:sz w:val="22"/>
          <w:szCs w:val="22"/>
          <w:lang w:bidi="ar-SA"/>
        </w:rPr>
        <w:t>Implement a multi-dimensional evaluation system (process: 50%, final work: 50%) including theoretical understanding, trial-and-error records, and work optimization trajectory.</w:t>
      </w:r>
    </w:p>
    <w:p w14:paraId="71BF3C0D" w14:textId="77777777" w:rsidR="00C743AC" w:rsidRPr="00EB32D6" w:rsidRDefault="00000000">
      <w:pPr>
        <w:jc w:val="both"/>
        <w:rPr>
          <w:rFonts w:ascii="Times New Roman" w:eastAsia="SimSun" w:hAnsi="Times New Roman" w:cs="Times New Roman"/>
          <w:sz w:val="22"/>
          <w:szCs w:val="22"/>
          <w:lang w:bidi="ar-SA"/>
        </w:rPr>
      </w:pPr>
      <w:r w:rsidRPr="00EB32D6">
        <w:rPr>
          <w:rFonts w:ascii="Times New Roman" w:eastAsia="SimSun" w:hAnsi="Times New Roman" w:cs="Times New Roman"/>
          <w:sz w:val="22"/>
          <w:szCs w:val="22"/>
          <w:lang w:bidi="ar-SA"/>
        </w:rPr>
        <w:t>Limitations and Future Research</w:t>
      </w:r>
    </w:p>
    <w:p w14:paraId="506FA0CE" w14:textId="77777777" w:rsidR="00C743AC" w:rsidRPr="00EB32D6" w:rsidRDefault="00000000">
      <w:pPr>
        <w:jc w:val="both"/>
        <w:rPr>
          <w:rFonts w:ascii="Times New Roman" w:eastAsia="SimSun" w:hAnsi="Times New Roman" w:cs="Times New Roman"/>
          <w:sz w:val="22"/>
          <w:szCs w:val="22"/>
          <w:lang w:bidi="ar-SA"/>
        </w:rPr>
      </w:pPr>
      <w:r w:rsidRPr="00EB32D6">
        <w:rPr>
          <w:rFonts w:ascii="Times New Roman" w:eastAsia="SimSun" w:hAnsi="Times New Roman" w:cs="Times New Roman"/>
          <w:sz w:val="22"/>
          <w:szCs w:val="22"/>
          <w:lang w:bidi="ar-SA"/>
        </w:rPr>
        <w:t>This study was conducted in a single vocational college, limiting result generalizability. Future research could expand to multi-regional samples and extend the research cycle to track long-term career development impacts. Additionally, integrating emerging technologies (AI design tools) into the practical framework could enhance its adaptability to industry changes.</w:t>
      </w:r>
    </w:p>
    <w:p w14:paraId="6578CFD5" w14:textId="77777777" w:rsidR="00C743AC" w:rsidRDefault="00C743AC">
      <w:pPr>
        <w:jc w:val="both"/>
        <w:rPr>
          <w:rFonts w:ascii="Times New Roman" w:eastAsia="SimSun" w:hAnsi="Times New Roman" w:cs="Times New Roman"/>
          <w:sz w:val="20"/>
          <w:szCs w:val="20"/>
          <w:lang w:bidi="ar-SA"/>
        </w:rPr>
      </w:pPr>
    </w:p>
    <w:p w14:paraId="66CA05C7" w14:textId="77777777" w:rsidR="00C743AC" w:rsidRDefault="00C743AC">
      <w:pPr>
        <w:jc w:val="both"/>
        <w:rPr>
          <w:rFonts w:ascii="Times New Roman" w:eastAsia="SimSun" w:hAnsi="Times New Roman" w:cs="Times New Roman"/>
          <w:sz w:val="20"/>
          <w:szCs w:val="20"/>
          <w:lang w:bidi="ar-SA"/>
        </w:rPr>
      </w:pPr>
    </w:p>
    <w:p w14:paraId="6F4C969B" w14:textId="77777777" w:rsidR="00C743AC" w:rsidRDefault="00C743AC">
      <w:pPr>
        <w:jc w:val="both"/>
        <w:rPr>
          <w:rFonts w:ascii="Times New Roman" w:eastAsia="SimSun" w:hAnsi="Times New Roman" w:cs="Times New Roman"/>
          <w:sz w:val="20"/>
          <w:szCs w:val="20"/>
          <w:lang w:bidi="ar-SA"/>
        </w:rPr>
      </w:pPr>
    </w:p>
    <w:p w14:paraId="02E0E74A" w14:textId="0915A2EE" w:rsidR="00C743AC" w:rsidRDefault="00FB6B9F" w:rsidP="00FB6B9F">
      <w:pPr>
        <w:rPr>
          <w:rFonts w:ascii="Times New Roman" w:eastAsia="SimSun" w:hAnsi="Times New Roman" w:cs="Times New Roman"/>
          <w:sz w:val="20"/>
          <w:szCs w:val="20"/>
          <w:lang w:bidi="ar-SA"/>
        </w:rPr>
      </w:pPr>
      <w:r>
        <w:rPr>
          <w:rFonts w:ascii="Times New Roman" w:eastAsia="SimSun" w:hAnsi="Times New Roman" w:cs="Times New Roman"/>
          <w:sz w:val="20"/>
          <w:szCs w:val="20"/>
          <w:lang w:bidi="ar-SA"/>
        </w:rPr>
        <w:br w:type="page"/>
      </w:r>
    </w:p>
    <w:p w14:paraId="60D481F2" w14:textId="77777777" w:rsidR="00C743AC" w:rsidRPr="00EB32D6" w:rsidRDefault="00000000">
      <w:pPr>
        <w:jc w:val="both"/>
        <w:rPr>
          <w:rFonts w:ascii="Times New Roman" w:eastAsia="SimSun" w:hAnsi="Times New Roman" w:cs="Times New Roman"/>
          <w:b/>
          <w:bCs/>
          <w:lang w:bidi="ar-SA"/>
        </w:rPr>
      </w:pPr>
      <w:r w:rsidRPr="00EB32D6">
        <w:rPr>
          <w:rFonts w:ascii="Times New Roman" w:eastAsia="SimSun" w:hAnsi="Times New Roman" w:cs="Times New Roman"/>
          <w:b/>
          <w:bCs/>
          <w:lang w:bidi="ar-SA"/>
        </w:rPr>
        <w:lastRenderedPageBreak/>
        <w:t xml:space="preserve">REFERENCE </w:t>
      </w:r>
    </w:p>
    <w:p w14:paraId="2F657184" w14:textId="77777777" w:rsidR="00EB32D6" w:rsidRPr="00EB32D6" w:rsidRDefault="00EB32D6" w:rsidP="00EB32D6">
      <w:pPr>
        <w:spacing w:line="300" w:lineRule="auto"/>
        <w:jc w:val="both"/>
        <w:rPr>
          <w:rFonts w:ascii="Times New Roman" w:hAnsi="Times New Roman" w:cs="Times New Roman"/>
          <w:kern w:val="2"/>
          <w:sz w:val="22"/>
          <w:szCs w:val="22"/>
          <w:lang w:bidi="ar-SA"/>
        </w:rPr>
      </w:pPr>
      <w:r w:rsidRPr="00EB32D6">
        <w:rPr>
          <w:rFonts w:ascii="Times New Roman" w:hAnsi="Times New Roman" w:cs="Times New Roman"/>
          <w:kern w:val="2"/>
          <w:sz w:val="22"/>
          <w:szCs w:val="22"/>
          <w:lang w:bidi="ar-SA"/>
        </w:rPr>
        <w:t xml:space="preserve">Bennett, E. (2025). Mixed methods research in aesthetic education: Practical guidelines for vocational college studies. </w:t>
      </w:r>
      <w:r w:rsidRPr="00EB32D6">
        <w:rPr>
          <w:rFonts w:ascii="Times New Roman" w:hAnsi="Times New Roman" w:cs="Times New Roman"/>
          <w:i/>
          <w:iCs/>
          <w:kern w:val="2"/>
          <w:sz w:val="22"/>
          <w:szCs w:val="22"/>
          <w:lang w:bidi="ar-SA"/>
        </w:rPr>
        <w:t>Journal of Educational Research and Practice, 41</w:t>
      </w:r>
      <w:r w:rsidRPr="00EB32D6">
        <w:rPr>
          <w:rFonts w:ascii="Times New Roman" w:hAnsi="Times New Roman" w:cs="Times New Roman"/>
          <w:kern w:val="2"/>
          <w:sz w:val="22"/>
          <w:szCs w:val="22"/>
          <w:lang w:bidi="ar-SA"/>
        </w:rPr>
        <w:t>(2), 56–71.</w:t>
      </w:r>
    </w:p>
    <w:p w14:paraId="61C0A68C" w14:textId="77777777" w:rsidR="00EB32D6" w:rsidRPr="00EB32D6" w:rsidRDefault="00EB32D6" w:rsidP="00EB32D6">
      <w:pPr>
        <w:spacing w:line="300" w:lineRule="auto"/>
        <w:jc w:val="both"/>
        <w:rPr>
          <w:rFonts w:ascii="Times New Roman" w:hAnsi="Times New Roman" w:cs="Times New Roman"/>
          <w:kern w:val="2"/>
          <w:sz w:val="22"/>
          <w:szCs w:val="22"/>
          <w:lang w:bidi="ar-SA"/>
        </w:rPr>
      </w:pPr>
      <w:r w:rsidRPr="00EB32D6">
        <w:rPr>
          <w:rFonts w:ascii="Times New Roman" w:hAnsi="Times New Roman" w:cs="Times New Roman"/>
          <w:kern w:val="2"/>
          <w:sz w:val="22"/>
          <w:szCs w:val="22"/>
          <w:lang w:bidi="ar-SA"/>
        </w:rPr>
        <w:t xml:space="preserve">Chen, L., et al. (2025). Application of “Growing Circle” theory in vocational art education. </w:t>
      </w:r>
      <w:r w:rsidRPr="00EB32D6">
        <w:rPr>
          <w:rFonts w:ascii="Times New Roman" w:hAnsi="Times New Roman" w:cs="Times New Roman"/>
          <w:i/>
          <w:iCs/>
          <w:kern w:val="2"/>
          <w:sz w:val="22"/>
          <w:szCs w:val="22"/>
          <w:lang w:bidi="ar-SA"/>
        </w:rPr>
        <w:t>Vocational and Technical Education, 46</w:t>
      </w:r>
      <w:r w:rsidRPr="00EB32D6">
        <w:rPr>
          <w:rFonts w:ascii="Times New Roman" w:hAnsi="Times New Roman" w:cs="Times New Roman"/>
          <w:kern w:val="2"/>
          <w:sz w:val="22"/>
          <w:szCs w:val="22"/>
          <w:lang w:bidi="ar-SA"/>
        </w:rPr>
        <w:t>(5), 68–73.</w:t>
      </w:r>
    </w:p>
    <w:p w14:paraId="36C241A5" w14:textId="77777777" w:rsidR="00EB32D6" w:rsidRPr="00EB32D6" w:rsidRDefault="00EB32D6" w:rsidP="00EB32D6">
      <w:pPr>
        <w:spacing w:line="300" w:lineRule="auto"/>
        <w:jc w:val="both"/>
        <w:rPr>
          <w:rFonts w:ascii="Times New Roman" w:hAnsi="Times New Roman" w:cs="Times New Roman"/>
          <w:kern w:val="2"/>
          <w:sz w:val="22"/>
          <w:szCs w:val="22"/>
          <w:lang w:bidi="ar-SA"/>
        </w:rPr>
      </w:pPr>
      <w:r w:rsidRPr="00EB32D6">
        <w:rPr>
          <w:rFonts w:ascii="Times New Roman" w:hAnsi="Times New Roman" w:cs="Times New Roman"/>
          <w:kern w:val="2"/>
          <w:sz w:val="22"/>
          <w:szCs w:val="22"/>
          <w:lang w:bidi="ar-SA"/>
        </w:rPr>
        <w:t xml:space="preserve">Drucker, P. (2021). </w:t>
      </w:r>
      <w:r w:rsidRPr="00EB32D6">
        <w:rPr>
          <w:rFonts w:ascii="Times New Roman" w:hAnsi="Times New Roman" w:cs="Times New Roman"/>
          <w:i/>
          <w:iCs/>
          <w:kern w:val="2"/>
          <w:sz w:val="22"/>
          <w:szCs w:val="22"/>
          <w:lang w:bidi="ar-SA"/>
        </w:rPr>
        <w:t>The practice of management</w:t>
      </w:r>
      <w:r w:rsidRPr="00EB32D6">
        <w:rPr>
          <w:rFonts w:ascii="Times New Roman" w:hAnsi="Times New Roman" w:cs="Times New Roman"/>
          <w:kern w:val="2"/>
          <w:sz w:val="22"/>
          <w:szCs w:val="22"/>
          <w:lang w:bidi="ar-SA"/>
        </w:rPr>
        <w:t>. HarperCollins Publishers.</w:t>
      </w:r>
    </w:p>
    <w:p w14:paraId="555D2949" w14:textId="77777777" w:rsidR="00EB32D6" w:rsidRPr="00EB32D6" w:rsidRDefault="00EB32D6" w:rsidP="00EB32D6">
      <w:pPr>
        <w:spacing w:line="300" w:lineRule="auto"/>
        <w:jc w:val="both"/>
        <w:rPr>
          <w:rFonts w:ascii="Times New Roman" w:hAnsi="Times New Roman" w:cs="Times New Roman"/>
          <w:kern w:val="2"/>
          <w:sz w:val="22"/>
          <w:szCs w:val="22"/>
          <w:lang w:bidi="ar-SA"/>
        </w:rPr>
      </w:pPr>
      <w:r w:rsidRPr="00EB32D6">
        <w:rPr>
          <w:rFonts w:ascii="Times New Roman" w:hAnsi="Times New Roman" w:cs="Times New Roman"/>
          <w:kern w:val="2"/>
          <w:sz w:val="22"/>
          <w:szCs w:val="22"/>
          <w:lang w:bidi="ar-SA"/>
        </w:rPr>
        <w:t xml:space="preserve">Goleman, D. (2019). </w:t>
      </w:r>
      <w:r w:rsidRPr="00EB32D6">
        <w:rPr>
          <w:rFonts w:ascii="Times New Roman" w:hAnsi="Times New Roman" w:cs="Times New Roman"/>
          <w:i/>
          <w:iCs/>
          <w:kern w:val="2"/>
          <w:sz w:val="22"/>
          <w:szCs w:val="22"/>
          <w:lang w:bidi="ar-SA"/>
        </w:rPr>
        <w:t>Emotional intelligence</w:t>
      </w:r>
      <w:r w:rsidRPr="00EB32D6">
        <w:rPr>
          <w:rFonts w:ascii="Times New Roman" w:hAnsi="Times New Roman" w:cs="Times New Roman"/>
          <w:kern w:val="2"/>
          <w:sz w:val="22"/>
          <w:szCs w:val="22"/>
          <w:lang w:bidi="ar-SA"/>
        </w:rPr>
        <w:t>. Bantam Books.</w:t>
      </w:r>
    </w:p>
    <w:p w14:paraId="7205C742" w14:textId="77777777" w:rsidR="00EB32D6" w:rsidRPr="00EB32D6" w:rsidRDefault="00EB32D6" w:rsidP="00EB32D6">
      <w:pPr>
        <w:spacing w:line="300" w:lineRule="auto"/>
        <w:jc w:val="both"/>
        <w:rPr>
          <w:rFonts w:ascii="Times New Roman" w:hAnsi="Times New Roman" w:cs="Times New Roman"/>
          <w:kern w:val="2"/>
          <w:sz w:val="22"/>
          <w:szCs w:val="22"/>
          <w:lang w:bidi="ar-SA"/>
        </w:rPr>
      </w:pPr>
      <w:r w:rsidRPr="00EB32D6">
        <w:rPr>
          <w:rFonts w:ascii="Times New Roman" w:hAnsi="Times New Roman" w:cs="Times New Roman"/>
          <w:kern w:val="2"/>
          <w:sz w:val="22"/>
          <w:szCs w:val="22"/>
          <w:lang w:bidi="ar-SA"/>
        </w:rPr>
        <w:t xml:space="preserve">Jones, J. (2021). Industry demand-oriented aesthetic education optimization for advertising design majors. </w:t>
      </w:r>
      <w:r w:rsidRPr="00EB32D6">
        <w:rPr>
          <w:rFonts w:ascii="Times New Roman" w:hAnsi="Times New Roman" w:cs="Times New Roman"/>
          <w:i/>
          <w:iCs/>
          <w:kern w:val="2"/>
          <w:sz w:val="22"/>
          <w:szCs w:val="22"/>
          <w:lang w:bidi="ar-SA"/>
        </w:rPr>
        <w:t>Journal of Vocational Education, 38</w:t>
      </w:r>
      <w:r w:rsidRPr="00EB32D6">
        <w:rPr>
          <w:rFonts w:ascii="Times New Roman" w:hAnsi="Times New Roman" w:cs="Times New Roman"/>
          <w:kern w:val="2"/>
          <w:sz w:val="22"/>
          <w:szCs w:val="22"/>
          <w:lang w:bidi="ar-SA"/>
        </w:rPr>
        <w:t>(2), 34–42.</w:t>
      </w:r>
    </w:p>
    <w:p w14:paraId="62BA24D6" w14:textId="77777777" w:rsidR="00EB32D6" w:rsidRPr="00EB32D6" w:rsidRDefault="00EB32D6" w:rsidP="00EB32D6">
      <w:pPr>
        <w:spacing w:line="300" w:lineRule="auto"/>
        <w:jc w:val="both"/>
        <w:rPr>
          <w:rFonts w:ascii="Times New Roman" w:hAnsi="Times New Roman" w:cs="Times New Roman"/>
          <w:kern w:val="2"/>
          <w:sz w:val="22"/>
          <w:szCs w:val="22"/>
          <w:lang w:bidi="ar-SA"/>
        </w:rPr>
      </w:pPr>
      <w:r w:rsidRPr="00EB32D6">
        <w:rPr>
          <w:rFonts w:ascii="Times New Roman" w:hAnsi="Times New Roman" w:cs="Times New Roman"/>
          <w:kern w:val="2"/>
          <w:sz w:val="22"/>
          <w:szCs w:val="22"/>
          <w:lang w:bidi="ar-SA"/>
        </w:rPr>
        <w:t xml:space="preserve">Li, J., &amp; Wang, Y. (2025). Longitudinal study on the impact of aesthetic education on vocational college students’ psychological resilience. </w:t>
      </w:r>
      <w:r w:rsidRPr="00EB32D6">
        <w:rPr>
          <w:rFonts w:ascii="Times New Roman" w:hAnsi="Times New Roman" w:cs="Times New Roman"/>
          <w:i/>
          <w:iCs/>
          <w:kern w:val="2"/>
          <w:sz w:val="22"/>
          <w:szCs w:val="22"/>
          <w:lang w:bidi="ar-SA"/>
        </w:rPr>
        <w:t>China Journal of Education, 12</w:t>
      </w:r>
      <w:r w:rsidRPr="00EB32D6">
        <w:rPr>
          <w:rFonts w:ascii="Times New Roman" w:hAnsi="Times New Roman" w:cs="Times New Roman"/>
          <w:kern w:val="2"/>
          <w:sz w:val="22"/>
          <w:szCs w:val="22"/>
          <w:lang w:bidi="ar-SA"/>
        </w:rPr>
        <w:t>, 45–51.</w:t>
      </w:r>
    </w:p>
    <w:p w14:paraId="1A241B4F" w14:textId="77777777" w:rsidR="00EB32D6" w:rsidRPr="00EB32D6" w:rsidRDefault="00EB32D6" w:rsidP="00EB32D6">
      <w:pPr>
        <w:spacing w:line="300" w:lineRule="auto"/>
        <w:jc w:val="both"/>
        <w:rPr>
          <w:rFonts w:ascii="Times New Roman" w:hAnsi="Times New Roman" w:cs="Times New Roman"/>
          <w:kern w:val="2"/>
          <w:sz w:val="22"/>
          <w:szCs w:val="22"/>
          <w:lang w:bidi="ar-SA"/>
        </w:rPr>
      </w:pPr>
      <w:r w:rsidRPr="00EB32D6">
        <w:rPr>
          <w:rFonts w:ascii="Times New Roman" w:hAnsi="Times New Roman" w:cs="Times New Roman"/>
          <w:kern w:val="2"/>
          <w:sz w:val="22"/>
          <w:szCs w:val="22"/>
          <w:lang w:bidi="ar-SA"/>
        </w:rPr>
        <w:t xml:space="preserve">Maslow, A. (2018). </w:t>
      </w:r>
      <w:r w:rsidRPr="00EB32D6">
        <w:rPr>
          <w:rFonts w:ascii="Times New Roman" w:hAnsi="Times New Roman" w:cs="Times New Roman"/>
          <w:i/>
          <w:iCs/>
          <w:kern w:val="2"/>
          <w:sz w:val="22"/>
          <w:szCs w:val="22"/>
          <w:lang w:bidi="ar-SA"/>
        </w:rPr>
        <w:t>Motivation and personality</w:t>
      </w:r>
      <w:r w:rsidRPr="00EB32D6">
        <w:rPr>
          <w:rFonts w:ascii="Times New Roman" w:hAnsi="Times New Roman" w:cs="Times New Roman"/>
          <w:kern w:val="2"/>
          <w:sz w:val="22"/>
          <w:szCs w:val="22"/>
          <w:lang w:bidi="ar-SA"/>
        </w:rPr>
        <w:t>. HarperCollins Publishers.</w:t>
      </w:r>
    </w:p>
    <w:p w14:paraId="763858F2" w14:textId="77777777" w:rsidR="00EB32D6" w:rsidRPr="00EB32D6" w:rsidRDefault="00EB32D6" w:rsidP="00EB32D6">
      <w:pPr>
        <w:spacing w:line="300" w:lineRule="auto"/>
        <w:jc w:val="both"/>
        <w:rPr>
          <w:rFonts w:ascii="Times New Roman" w:hAnsi="Times New Roman" w:cs="Times New Roman"/>
          <w:kern w:val="2"/>
          <w:sz w:val="22"/>
          <w:szCs w:val="22"/>
          <w:lang w:bidi="ar-SA"/>
        </w:rPr>
      </w:pPr>
      <w:r w:rsidRPr="00EB32D6">
        <w:rPr>
          <w:rFonts w:ascii="Times New Roman" w:hAnsi="Times New Roman" w:cs="Times New Roman"/>
          <w:kern w:val="2"/>
          <w:sz w:val="22"/>
          <w:szCs w:val="22"/>
          <w:lang w:bidi="ar-SA"/>
        </w:rPr>
        <w:t xml:space="preserve">Ministry of Education of China. (2025). </w:t>
      </w:r>
      <w:r w:rsidRPr="00EB32D6">
        <w:rPr>
          <w:rFonts w:ascii="Times New Roman" w:hAnsi="Times New Roman" w:cs="Times New Roman"/>
          <w:i/>
          <w:iCs/>
          <w:kern w:val="2"/>
          <w:sz w:val="22"/>
          <w:szCs w:val="22"/>
          <w:lang w:bidi="ar-SA"/>
        </w:rPr>
        <w:t>Guidelines for strengthening aesthetic education in vocational colleges</w:t>
      </w:r>
      <w:r w:rsidRPr="00EB32D6">
        <w:rPr>
          <w:rFonts w:ascii="Times New Roman" w:hAnsi="Times New Roman" w:cs="Times New Roman"/>
          <w:kern w:val="2"/>
          <w:sz w:val="22"/>
          <w:szCs w:val="22"/>
          <w:lang w:bidi="ar-SA"/>
        </w:rPr>
        <w:t xml:space="preserve"> (Ministry of Education Official Document [2025] No. 18).</w:t>
      </w:r>
    </w:p>
    <w:p w14:paraId="6AB94568" w14:textId="77777777" w:rsidR="00EB32D6" w:rsidRPr="00EB32D6" w:rsidRDefault="00EB32D6" w:rsidP="00EB32D6">
      <w:pPr>
        <w:spacing w:line="300" w:lineRule="auto"/>
        <w:jc w:val="both"/>
        <w:rPr>
          <w:rFonts w:ascii="Times New Roman" w:hAnsi="Times New Roman" w:cs="Times New Roman"/>
          <w:kern w:val="2"/>
          <w:sz w:val="22"/>
          <w:szCs w:val="22"/>
          <w:lang w:bidi="ar-SA"/>
        </w:rPr>
      </w:pPr>
      <w:r w:rsidRPr="00EB32D6">
        <w:rPr>
          <w:rFonts w:ascii="Times New Roman" w:hAnsi="Times New Roman" w:cs="Times New Roman"/>
          <w:kern w:val="2"/>
          <w:sz w:val="22"/>
          <w:szCs w:val="22"/>
          <w:lang w:bidi="ar-SA"/>
        </w:rPr>
        <w:t xml:space="preserve">Oliver, R. (2019). </w:t>
      </w:r>
      <w:r w:rsidRPr="00EB32D6">
        <w:rPr>
          <w:rFonts w:ascii="Times New Roman" w:hAnsi="Times New Roman" w:cs="Times New Roman"/>
          <w:i/>
          <w:iCs/>
          <w:kern w:val="2"/>
          <w:sz w:val="22"/>
          <w:szCs w:val="22"/>
          <w:lang w:bidi="ar-SA"/>
        </w:rPr>
        <w:t>Satisfaction: A behavioral perspective on the consumer</w:t>
      </w:r>
      <w:r w:rsidRPr="00EB32D6">
        <w:rPr>
          <w:rFonts w:ascii="Times New Roman" w:hAnsi="Times New Roman" w:cs="Times New Roman"/>
          <w:kern w:val="2"/>
          <w:sz w:val="22"/>
          <w:szCs w:val="22"/>
          <w:lang w:bidi="ar-SA"/>
        </w:rPr>
        <w:t>. Routledge.</w:t>
      </w:r>
    </w:p>
    <w:p w14:paraId="60A88C9B" w14:textId="77777777" w:rsidR="00EB32D6" w:rsidRPr="00EB32D6" w:rsidRDefault="00EB32D6" w:rsidP="00EB32D6">
      <w:pPr>
        <w:spacing w:line="300" w:lineRule="auto"/>
        <w:jc w:val="both"/>
        <w:rPr>
          <w:rFonts w:ascii="Times New Roman" w:hAnsi="Times New Roman" w:cs="Times New Roman"/>
          <w:kern w:val="2"/>
          <w:sz w:val="22"/>
          <w:szCs w:val="22"/>
          <w:lang w:bidi="ar-SA"/>
        </w:rPr>
      </w:pPr>
      <w:r w:rsidRPr="00EB32D6">
        <w:rPr>
          <w:rFonts w:ascii="Times New Roman" w:hAnsi="Times New Roman" w:cs="Times New Roman"/>
          <w:kern w:val="2"/>
          <w:sz w:val="22"/>
          <w:szCs w:val="22"/>
          <w:lang w:bidi="ar-SA"/>
        </w:rPr>
        <w:t xml:space="preserve">Silverstein, S. (1976). </w:t>
      </w:r>
      <w:r w:rsidRPr="00EB32D6">
        <w:rPr>
          <w:rFonts w:ascii="Times New Roman" w:hAnsi="Times New Roman" w:cs="Times New Roman"/>
          <w:i/>
          <w:iCs/>
          <w:kern w:val="2"/>
          <w:sz w:val="22"/>
          <w:szCs w:val="22"/>
          <w:lang w:bidi="ar-SA"/>
        </w:rPr>
        <w:t>The missing piece</w:t>
      </w:r>
      <w:r w:rsidRPr="00EB32D6">
        <w:rPr>
          <w:rFonts w:ascii="Times New Roman" w:hAnsi="Times New Roman" w:cs="Times New Roman"/>
          <w:kern w:val="2"/>
          <w:sz w:val="22"/>
          <w:szCs w:val="22"/>
          <w:lang w:bidi="ar-SA"/>
        </w:rPr>
        <w:t>. HarperCollins Publishers.</w:t>
      </w:r>
    </w:p>
    <w:p w14:paraId="3D2710BE" w14:textId="77777777" w:rsidR="00EB32D6" w:rsidRPr="00EB32D6" w:rsidRDefault="00EB32D6" w:rsidP="00EB32D6">
      <w:pPr>
        <w:spacing w:line="300" w:lineRule="auto"/>
        <w:jc w:val="both"/>
        <w:rPr>
          <w:rFonts w:ascii="Times New Roman" w:hAnsi="Times New Roman" w:cs="Times New Roman"/>
          <w:kern w:val="2"/>
          <w:sz w:val="22"/>
          <w:szCs w:val="22"/>
          <w:lang w:bidi="ar-SA"/>
        </w:rPr>
      </w:pPr>
      <w:r w:rsidRPr="00EB32D6">
        <w:rPr>
          <w:rFonts w:ascii="Times New Roman" w:hAnsi="Times New Roman" w:cs="Times New Roman"/>
          <w:kern w:val="2"/>
          <w:sz w:val="22"/>
          <w:szCs w:val="22"/>
          <w:lang w:bidi="ar-SA"/>
        </w:rPr>
        <w:t xml:space="preserve">Smith, J. (2025). Growing Circle theory in basic art education. </w:t>
      </w:r>
      <w:r w:rsidRPr="00EB32D6">
        <w:rPr>
          <w:rFonts w:ascii="Times New Roman" w:hAnsi="Times New Roman" w:cs="Times New Roman"/>
          <w:i/>
          <w:iCs/>
          <w:kern w:val="2"/>
          <w:sz w:val="22"/>
          <w:szCs w:val="22"/>
          <w:lang w:bidi="ar-SA"/>
        </w:rPr>
        <w:t>International Journal of Art Education, 42</w:t>
      </w:r>
      <w:r w:rsidRPr="00EB32D6">
        <w:rPr>
          <w:rFonts w:ascii="Times New Roman" w:hAnsi="Times New Roman" w:cs="Times New Roman"/>
          <w:kern w:val="2"/>
          <w:sz w:val="22"/>
          <w:szCs w:val="22"/>
          <w:lang w:bidi="ar-SA"/>
        </w:rPr>
        <w:t>(3), 31–40.</w:t>
      </w:r>
    </w:p>
    <w:p w14:paraId="1EBA1B39" w14:textId="77777777" w:rsidR="00EB32D6" w:rsidRPr="00EB32D6" w:rsidRDefault="00EB32D6" w:rsidP="00EB32D6">
      <w:pPr>
        <w:spacing w:line="300" w:lineRule="auto"/>
        <w:jc w:val="both"/>
        <w:rPr>
          <w:rFonts w:ascii="Times New Roman" w:hAnsi="Times New Roman" w:cs="Times New Roman"/>
          <w:kern w:val="2"/>
          <w:sz w:val="22"/>
          <w:szCs w:val="22"/>
          <w:lang w:bidi="ar-SA"/>
        </w:rPr>
      </w:pPr>
      <w:r w:rsidRPr="00EB32D6">
        <w:rPr>
          <w:rFonts w:ascii="Times New Roman" w:hAnsi="Times New Roman" w:cs="Times New Roman"/>
          <w:kern w:val="2"/>
          <w:sz w:val="22"/>
          <w:szCs w:val="22"/>
          <w:lang w:bidi="ar-SA"/>
        </w:rPr>
        <w:t xml:space="preserve">Yang, J. (2025). Dynamic evaluation of aesthetic education satisfaction in art majors. </w:t>
      </w:r>
      <w:r w:rsidRPr="00EB32D6">
        <w:rPr>
          <w:rFonts w:ascii="Times New Roman" w:hAnsi="Times New Roman" w:cs="Times New Roman"/>
          <w:i/>
          <w:iCs/>
          <w:kern w:val="2"/>
          <w:sz w:val="22"/>
          <w:szCs w:val="22"/>
          <w:lang w:bidi="ar-SA"/>
        </w:rPr>
        <w:t>Art Education Research, 32</w:t>
      </w:r>
      <w:r w:rsidRPr="00EB32D6">
        <w:rPr>
          <w:rFonts w:ascii="Times New Roman" w:hAnsi="Times New Roman" w:cs="Times New Roman"/>
          <w:kern w:val="2"/>
          <w:sz w:val="22"/>
          <w:szCs w:val="22"/>
          <w:lang w:bidi="ar-SA"/>
        </w:rPr>
        <w:t>(7), 7–10.</w:t>
      </w:r>
    </w:p>
    <w:p w14:paraId="64B31725" w14:textId="77777777" w:rsidR="00EB32D6" w:rsidRPr="00EB32D6" w:rsidRDefault="00EB32D6" w:rsidP="00EB32D6">
      <w:pPr>
        <w:spacing w:line="300" w:lineRule="auto"/>
        <w:jc w:val="both"/>
        <w:rPr>
          <w:rFonts w:ascii="Times New Roman" w:hAnsi="Times New Roman" w:cs="Times New Roman"/>
          <w:kern w:val="2"/>
          <w:sz w:val="22"/>
          <w:szCs w:val="22"/>
          <w:lang w:bidi="ar-SA"/>
        </w:rPr>
      </w:pPr>
      <w:r w:rsidRPr="00EB32D6">
        <w:rPr>
          <w:rFonts w:ascii="Times New Roman" w:hAnsi="Times New Roman" w:cs="Times New Roman"/>
          <w:kern w:val="2"/>
          <w:sz w:val="22"/>
          <w:szCs w:val="22"/>
          <w:lang w:bidi="ar-SA"/>
        </w:rPr>
        <w:t xml:space="preserve">Zhang, H. (2025). Current status and reform paths of aesthetic education in vocational advertising art design majors. </w:t>
      </w:r>
      <w:r w:rsidRPr="00EB32D6">
        <w:rPr>
          <w:rFonts w:ascii="Times New Roman" w:hAnsi="Times New Roman" w:cs="Times New Roman"/>
          <w:i/>
          <w:iCs/>
          <w:kern w:val="2"/>
          <w:sz w:val="22"/>
          <w:szCs w:val="22"/>
          <w:lang w:bidi="ar-SA"/>
        </w:rPr>
        <w:t>Vocational Education Research, 18</w:t>
      </w:r>
      <w:r w:rsidRPr="00EB32D6">
        <w:rPr>
          <w:rFonts w:ascii="Times New Roman" w:hAnsi="Times New Roman" w:cs="Times New Roman"/>
          <w:kern w:val="2"/>
          <w:sz w:val="22"/>
          <w:szCs w:val="22"/>
          <w:lang w:bidi="ar-SA"/>
        </w:rPr>
        <w:t>(3), 56–62.</w:t>
      </w:r>
    </w:p>
    <w:p w14:paraId="458BE48C" w14:textId="77777777" w:rsidR="00EB32D6" w:rsidRPr="00EB32D6" w:rsidRDefault="00EB32D6" w:rsidP="00EB32D6">
      <w:pPr>
        <w:spacing w:line="300" w:lineRule="auto"/>
        <w:jc w:val="both"/>
        <w:rPr>
          <w:rFonts w:ascii="Times New Roman" w:hAnsi="Times New Roman" w:cs="Times New Roman"/>
          <w:kern w:val="2"/>
          <w:sz w:val="22"/>
          <w:szCs w:val="22"/>
          <w:lang w:bidi="ar-SA"/>
        </w:rPr>
      </w:pPr>
      <w:r w:rsidRPr="00EB32D6">
        <w:rPr>
          <w:rFonts w:ascii="Times New Roman" w:hAnsi="Times New Roman" w:cs="Times New Roman"/>
          <w:kern w:val="2"/>
          <w:sz w:val="22"/>
          <w:szCs w:val="22"/>
          <w:lang w:bidi="ar-SA"/>
        </w:rPr>
        <w:t xml:space="preserve">Zhang, L. (2025). Four-stage teaching model based on Growing Circle theory. </w:t>
      </w:r>
      <w:r w:rsidRPr="00EB32D6">
        <w:rPr>
          <w:rFonts w:ascii="Times New Roman" w:hAnsi="Times New Roman" w:cs="Times New Roman"/>
          <w:i/>
          <w:iCs/>
          <w:kern w:val="2"/>
          <w:sz w:val="22"/>
          <w:szCs w:val="22"/>
          <w:lang w:bidi="ar-SA"/>
        </w:rPr>
        <w:t>Journal of Art Education, 28</w:t>
      </w:r>
      <w:r w:rsidRPr="00EB32D6">
        <w:rPr>
          <w:rFonts w:ascii="Times New Roman" w:hAnsi="Times New Roman" w:cs="Times New Roman"/>
          <w:kern w:val="2"/>
          <w:sz w:val="22"/>
          <w:szCs w:val="22"/>
          <w:lang w:bidi="ar-SA"/>
        </w:rPr>
        <w:t>(4), 23–28.</w:t>
      </w:r>
    </w:p>
    <w:p w14:paraId="22CB9D3D" w14:textId="77777777" w:rsidR="00EB32D6" w:rsidRPr="00EB32D6" w:rsidRDefault="00EB32D6" w:rsidP="00EB32D6">
      <w:pPr>
        <w:spacing w:line="300" w:lineRule="auto"/>
        <w:jc w:val="both"/>
        <w:rPr>
          <w:rFonts w:ascii="Times New Roman" w:hAnsi="Times New Roman" w:cs="Times New Roman"/>
          <w:kern w:val="2"/>
          <w:sz w:val="22"/>
          <w:szCs w:val="22"/>
          <w:lang w:bidi="ar-SA"/>
        </w:rPr>
      </w:pPr>
      <w:r w:rsidRPr="00EB32D6">
        <w:rPr>
          <w:rFonts w:ascii="Times New Roman" w:hAnsi="Times New Roman" w:cs="Times New Roman"/>
          <w:kern w:val="2"/>
          <w:sz w:val="22"/>
          <w:szCs w:val="22"/>
          <w:lang w:bidi="ar-SA"/>
        </w:rPr>
        <w:t xml:space="preserve">Zhao, H., &amp; Wang, B. (2025). Student satisfaction in vocational aesthetic education. </w:t>
      </w:r>
      <w:r w:rsidRPr="00EB32D6">
        <w:rPr>
          <w:rFonts w:ascii="Times New Roman" w:hAnsi="Times New Roman" w:cs="Times New Roman"/>
          <w:i/>
          <w:iCs/>
          <w:kern w:val="2"/>
          <w:sz w:val="22"/>
          <w:szCs w:val="22"/>
          <w:lang w:bidi="ar-SA"/>
        </w:rPr>
        <w:t>Journal of Guizhou Urban Vocational College, 13</w:t>
      </w:r>
      <w:r w:rsidRPr="00EB32D6">
        <w:rPr>
          <w:rFonts w:ascii="Times New Roman" w:hAnsi="Times New Roman" w:cs="Times New Roman"/>
          <w:kern w:val="2"/>
          <w:sz w:val="22"/>
          <w:szCs w:val="22"/>
          <w:lang w:bidi="ar-SA"/>
        </w:rPr>
        <w:t>(2), 5–8.</w:t>
      </w:r>
    </w:p>
    <w:p w14:paraId="12C2DBD2" w14:textId="77777777" w:rsidR="00C743AC" w:rsidRDefault="00C743AC">
      <w:pPr>
        <w:spacing w:line="300" w:lineRule="auto"/>
        <w:jc w:val="both"/>
        <w:rPr>
          <w:rFonts w:ascii="Times New Roman" w:eastAsia="Times NR MT Pro Medium" w:hAnsi="Times New Roman" w:cs="Times New Roman"/>
          <w:sz w:val="20"/>
          <w:szCs w:val="20"/>
          <w:lang w:bidi="ar-SA"/>
        </w:rPr>
      </w:pPr>
    </w:p>
    <w:p w14:paraId="5877D151" w14:textId="77777777" w:rsidR="00C743AC" w:rsidRDefault="00C743AC">
      <w:pPr>
        <w:spacing w:line="180" w:lineRule="atLeast"/>
        <w:rPr>
          <w:rFonts w:ascii="Times New Roman" w:eastAsia="Times NR MT Pro Medium" w:hAnsi="Times New Roman" w:cs="Times New Roman"/>
          <w:color w:val="000000"/>
          <w:sz w:val="20"/>
          <w:szCs w:val="20"/>
          <w:lang w:bidi="ar"/>
        </w:rPr>
      </w:pPr>
    </w:p>
    <w:sectPr w:rsidR="00C743A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fontKey="{47388257-3A09-437E-8066-67FBFA05C71D}"/>
    <w:embedBold r:id="rId2" w:fontKey="{57630EE9-903F-4DC9-9B48-6EBE9FED8ECD}"/>
    <w:embedItalic r:id="rId3" w:fontKey="{96C06934-8777-434B-B0E4-C50F08B41A49}"/>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4" w:fontKey="{BF1827D3-3AAB-4DE0-B5E5-E191188AF648}"/>
  </w:font>
  <w:font w:name="Angsana New">
    <w:panose1 w:val="02020603050405020304"/>
    <w:charset w:val="00"/>
    <w:family w:val="roman"/>
    <w:pitch w:val="variable"/>
    <w:sig w:usb0="81000003" w:usb1="00000000" w:usb2="00000000" w:usb3="00000000" w:csb0="00010001" w:csb1="00000000"/>
    <w:embedRegular r:id="rId5" w:fontKey="{A644AAAC-28DE-462A-9CAD-D89259DF1929}"/>
    <w:embedBold r:id="rId6" w:fontKey="{0791E783-B8D9-4A5E-A29F-1CF4F9720A35}"/>
    <w:embedItalic r:id="rId7" w:fontKey="{2041AF1B-69E0-4923-924C-3C0FBF74F1BB}"/>
  </w:font>
  <w:font w:name="Cordia New">
    <w:panose1 w:val="020B0304020202020204"/>
    <w:charset w:val="00"/>
    <w:family w:val="swiss"/>
    <w:pitch w:val="variable"/>
    <w:sig w:usb0="81000003" w:usb1="00000000" w:usb2="00000000" w:usb3="00000000" w:csb0="00010001" w:csb1="00000000"/>
    <w:embedRegular r:id="rId8" w:fontKey="{4A4310AE-0699-4BB4-9C85-05AA8D35D1CF}"/>
  </w:font>
  <w:font w:name="Times NR MT Pro Medium">
    <w:altName w:val="Microsoft YaHei"/>
    <w:charset w:val="86"/>
    <w:family w:val="auto"/>
    <w:pitch w:val="default"/>
    <w:sig w:usb0="00000001" w:usb1="080E0000" w:usb2="00000000" w:usb3="00000000" w:csb0="00040000" w:csb1="00000000"/>
  </w:font>
  <w:font w:name="Calibri Light">
    <w:panose1 w:val="020F0302020204030204"/>
    <w:charset w:val="00"/>
    <w:family w:val="swiss"/>
    <w:pitch w:val="variable"/>
    <w:sig w:usb0="E4002EFF" w:usb1="C200247B" w:usb2="00000009" w:usb3="00000000" w:csb0="000001FF" w:csb1="00000000"/>
    <w:embedRegular r:id="rId9" w:fontKey="{47B788E1-3571-4FE4-AD80-419780B5C104}"/>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embedTrueTypeFonts/>
  <w:embedSystemFonts/>
  <w:proofState w:spelling="clean" w:grammar="clean"/>
  <w:defaultTabStop w:val="420"/>
  <w:drawingGridVerticalSpacing w:val="156"/>
  <w:noPunctuationKerning/>
  <w:characterSpacingControl w:val="compressPunctuation"/>
  <w:compat>
    <w:spaceForUL/>
    <w:balanceSingleByteDoubleByteWidth/>
    <w:doNotLeaveBackslashAlon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NzgyMDMyMWU0N2RjNjMzY2M2ZmFlYzFkZGM3ZDYwYjcifQ=="/>
  </w:docVars>
  <w:rsids>
    <w:rsidRoot w:val="3C532D05"/>
    <w:rsid w:val="000F4838"/>
    <w:rsid w:val="00325D0C"/>
    <w:rsid w:val="004408C2"/>
    <w:rsid w:val="00482FC8"/>
    <w:rsid w:val="004A3B61"/>
    <w:rsid w:val="005037FE"/>
    <w:rsid w:val="00594BA9"/>
    <w:rsid w:val="005F22FF"/>
    <w:rsid w:val="007F258F"/>
    <w:rsid w:val="00862AB4"/>
    <w:rsid w:val="009A1BE8"/>
    <w:rsid w:val="00C743AC"/>
    <w:rsid w:val="00CC578E"/>
    <w:rsid w:val="00D4714B"/>
    <w:rsid w:val="00D72EFB"/>
    <w:rsid w:val="00EB32D6"/>
    <w:rsid w:val="00F744D0"/>
    <w:rsid w:val="00FA3162"/>
    <w:rsid w:val="00FB6B9F"/>
    <w:rsid w:val="01BE7323"/>
    <w:rsid w:val="1B8F2D9D"/>
    <w:rsid w:val="214C1B59"/>
    <w:rsid w:val="273921CA"/>
    <w:rsid w:val="3C532D05"/>
    <w:rsid w:val="3C9D5673"/>
    <w:rsid w:val="47A95A58"/>
    <w:rsid w:val="593A0373"/>
    <w:rsid w:val="604162CA"/>
    <w:rsid w:val="65EF4249"/>
    <w:rsid w:val="68923B67"/>
    <w:rsid w:val="69D33B4D"/>
    <w:rsid w:val="6D6A00A8"/>
    <w:rsid w:val="6EB52CCF"/>
    <w:rsid w:val="733A72D5"/>
    <w:rsid w:val="74564AC9"/>
    <w:rsid w:val="7A687397"/>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3A0474"/>
  <w15:docId w15:val="{0DBEBCE9-D56B-48D8-A6EA-0ED2BB4CF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th-TH"/>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uiPriority="99"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rFonts w:asciiTheme="minorHAnsi" w:eastAsiaTheme="minorEastAsia" w:hAnsiTheme="minorHAnsi" w:cs="Angsana New"/>
      <w:sz w:val="24"/>
      <w:szCs w:val="24"/>
    </w:rPr>
  </w:style>
  <w:style w:type="paragraph" w:styleId="2">
    <w:name w:val="heading 2"/>
    <w:basedOn w:val="a"/>
    <w:next w:val="a"/>
    <w:semiHidden/>
    <w:unhideWhenUsed/>
    <w:qFormat/>
    <w:pPr>
      <w:spacing w:beforeAutospacing="1" w:afterAutospacing="1"/>
      <w:outlineLvl w:val="1"/>
    </w:pPr>
    <w:rPr>
      <w:rFonts w:ascii="SimSun" w:eastAsia="SimSun" w:hAnsi="SimSun" w:hint="eastAsia"/>
      <w:b/>
      <w:bCs/>
      <w:sz w:val="36"/>
      <w:szCs w:val="36"/>
    </w:rPr>
  </w:style>
  <w:style w:type="paragraph" w:styleId="3">
    <w:name w:val="heading 3"/>
    <w:basedOn w:val="a"/>
    <w:next w:val="a"/>
    <w:semiHidden/>
    <w:unhideWhenUsed/>
    <w:qFormat/>
    <w:pPr>
      <w:spacing w:beforeAutospacing="1" w:afterAutospacing="1"/>
      <w:outlineLvl w:val="2"/>
    </w:pPr>
    <w:rPr>
      <w:rFonts w:ascii="SimSun" w:eastAsia="SimSun" w:hAnsi="SimSun" w:hint="eastAsia"/>
      <w:b/>
      <w:bCs/>
      <w:sz w:val="27"/>
      <w:szCs w:val="27"/>
    </w:rPr>
  </w:style>
  <w:style w:type="paragraph" w:styleId="4">
    <w:name w:val="heading 4"/>
    <w:basedOn w:val="a"/>
    <w:next w:val="a"/>
    <w:semiHidden/>
    <w:unhideWhenUsed/>
    <w:qFormat/>
    <w:pPr>
      <w:spacing w:beforeAutospacing="1" w:afterAutospacing="1"/>
      <w:outlineLvl w:val="3"/>
    </w:pPr>
    <w:rPr>
      <w:rFonts w:ascii="SimSun" w:eastAsia="SimSun" w:hAnsi="SimSun" w:hint="eastAsia"/>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99"/>
    <w:unhideWhenUsed/>
    <w:qFormat/>
    <w:pPr>
      <w:spacing w:after="120"/>
    </w:pPr>
  </w:style>
  <w:style w:type="paragraph" w:styleId="a4">
    <w:name w:val="Normal (Web)"/>
    <w:basedOn w:val="a"/>
    <w:qFormat/>
    <w:pPr>
      <w:spacing w:beforeAutospacing="1" w:afterAutospacing="1"/>
    </w:pPr>
  </w:style>
  <w:style w:type="table" w:styleId="a5">
    <w:name w:val="Table Grid"/>
    <w:basedOn w:val="a1"/>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Strong"/>
    <w:basedOn w:val="a0"/>
    <w:qFormat/>
    <w:rPr>
      <w:b/>
    </w:rPr>
  </w:style>
  <w:style w:type="character" w:styleId="a7">
    <w:name w:val="Emphasis"/>
    <w:basedOn w:val="a0"/>
    <w:qFormat/>
    <w:rPr>
      <w:i/>
    </w:rPr>
  </w:style>
  <w:style w:type="character" w:styleId="a8">
    <w:name w:val="Hyperlink"/>
    <w:basedOn w:val="a0"/>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0801395">
      <w:bodyDiv w:val="1"/>
      <w:marLeft w:val="0"/>
      <w:marRight w:val="0"/>
      <w:marTop w:val="0"/>
      <w:marBottom w:val="0"/>
      <w:divBdr>
        <w:top w:val="none" w:sz="0" w:space="0" w:color="auto"/>
        <w:left w:val="none" w:sz="0" w:space="0" w:color="auto"/>
        <w:bottom w:val="none" w:sz="0" w:space="0" w:color="auto"/>
        <w:right w:val="none" w:sz="0" w:space="0" w:color="auto"/>
      </w:divBdr>
    </w:div>
    <w:div w:id="2114935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2525</Words>
  <Characters>14393</Characters>
  <Application>Microsoft Office Word</Application>
  <DocSecurity>0</DocSecurity>
  <Lines>119</Lines>
  <Paragraphs>33</Paragraphs>
  <ScaleCrop>false</ScaleCrop>
  <HeadingPairs>
    <vt:vector size="2" baseType="variant">
      <vt:variant>
        <vt:lpstr>ชื่อเรื่อง</vt:lpstr>
      </vt:variant>
      <vt:variant>
        <vt:i4>1</vt:i4>
      </vt:variant>
    </vt:vector>
  </HeadingPairs>
  <TitlesOfParts>
    <vt:vector size="1" baseType="lpstr">
      <vt:lpstr/>
    </vt:vector>
  </TitlesOfParts>
  <Company/>
  <LinksUpToDate>false</LinksUpToDate>
  <CharactersWithSpaces>16885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酸霉汁er</dc:creator>
  <cp:lastModifiedBy>Admin</cp:lastModifiedBy>
  <cp:revision>2</cp:revision>
  <dcterms:created xsi:type="dcterms:W3CDTF">2026-04-29T15:42:00Z</dcterms:created>
  <dcterms:modified xsi:type="dcterms:W3CDTF">2026-04-29T15:42:00Z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6639148B78314D5393B7379F9AD90926_13</vt:lpwstr>
  </property>
  <property fmtid="{D5CDD505-2E9C-101B-9397-08002B2CF9AE}" pid="4" name="KSOTemplateDocerSaveRecord">
    <vt:lpwstr>eyJoZGlkIjoiYjZlZTczMGJiMzIyYjI4NmU0Y2JlNTk2MjU2Zjc3OWEiLCJ1c2VySWQiOiIzMDk2NjU1NjEifQ==</vt:lpwstr>
  </property>
  <property fmtid="{D5CDD505-2E9C-101B-9397-08002B2CF9AE}" pid="5" name="GrammarlyDocumentId">
    <vt:lpwstr>11d82dd7-1819-4428-962b-b1b3c4db15c4</vt:lpwstr>
  </property>
</Properties>
</file>